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BF793" w14:textId="3359B8D1" w:rsidR="006852D1" w:rsidRDefault="0096537C">
      <w:pPr>
        <w:rPr>
          <w:b/>
        </w:rPr>
      </w:pPr>
      <w:r>
        <w:rPr>
          <w:b/>
        </w:rPr>
        <w:t xml:space="preserve">Terms of Reference and </w:t>
      </w:r>
      <w:r w:rsidR="006852D1">
        <w:rPr>
          <w:b/>
        </w:rPr>
        <w:t>Imp</w:t>
      </w:r>
      <w:r>
        <w:rPr>
          <w:b/>
        </w:rPr>
        <w:t>lementation Guide</w:t>
      </w:r>
      <w:r w:rsidR="006852D1">
        <w:rPr>
          <w:b/>
        </w:rPr>
        <w:t xml:space="preserve"> </w:t>
      </w:r>
      <w:r>
        <w:rPr>
          <w:b/>
        </w:rPr>
        <w:t>for</w:t>
      </w:r>
      <w:r w:rsidR="006852D1">
        <w:rPr>
          <w:b/>
        </w:rPr>
        <w:t xml:space="preserve"> the Oxford Primary Care Hosted Research Data</w:t>
      </w:r>
      <w:r w:rsidR="00B53623">
        <w:rPr>
          <w:b/>
        </w:rPr>
        <w:t>sets</w:t>
      </w:r>
      <w:r w:rsidR="006852D1">
        <w:rPr>
          <w:b/>
        </w:rPr>
        <w:t xml:space="preserve"> Independent</w:t>
      </w:r>
      <w:r w:rsidR="006852D1" w:rsidRPr="00C74E1B">
        <w:rPr>
          <w:b/>
        </w:rPr>
        <w:t xml:space="preserve"> </w:t>
      </w:r>
      <w:r w:rsidR="006852D1">
        <w:rPr>
          <w:b/>
        </w:rPr>
        <w:t>Scientific Committee</w:t>
      </w:r>
      <w:r w:rsidR="00776E32">
        <w:rPr>
          <w:b/>
        </w:rPr>
        <w:t xml:space="preserve"> (</w:t>
      </w:r>
      <w:proofErr w:type="spellStart"/>
      <w:r w:rsidR="00776E32">
        <w:rPr>
          <w:b/>
        </w:rPr>
        <w:t>PrimDISC</w:t>
      </w:r>
      <w:proofErr w:type="spellEnd"/>
      <w:r w:rsidR="00B53623">
        <w:rPr>
          <w:b/>
        </w:rPr>
        <w:t>)</w:t>
      </w:r>
    </w:p>
    <w:p w14:paraId="1989125E" w14:textId="77777777" w:rsidR="006852D1" w:rsidRDefault="006852D1">
      <w:pPr>
        <w:rPr>
          <w:b/>
        </w:rPr>
      </w:pPr>
    </w:p>
    <w:p w14:paraId="5353EC0A" w14:textId="7DB73F6B" w:rsidR="00517835" w:rsidRDefault="00952770">
      <w:pPr>
        <w:rPr>
          <w:b/>
        </w:rPr>
      </w:pPr>
      <w:r w:rsidRPr="00AD5593">
        <w:rPr>
          <w:b/>
        </w:rPr>
        <w:t xml:space="preserve">Background to </w:t>
      </w:r>
      <w:r w:rsidR="00AD5593">
        <w:rPr>
          <w:b/>
        </w:rPr>
        <w:t>this document</w:t>
      </w:r>
    </w:p>
    <w:p w14:paraId="5715904C" w14:textId="77777777" w:rsidR="00D77787" w:rsidRDefault="00D06675" w:rsidP="00D77787">
      <w:r>
        <w:t xml:space="preserve">The Nuffield Department of Primary Care Health Sciences (NDPCHS) is developing a unified approvals process for accessing departmental data resources.  </w:t>
      </w:r>
      <w:r w:rsidR="00B82690">
        <w:t>This includes applications to use primary care research datasets, and for the re-use and re-analysis of existing Departmental Tria</w:t>
      </w:r>
      <w:r w:rsidR="00E92B9F">
        <w:t>ls, Cohorts or other studies.</w:t>
      </w:r>
      <w:r w:rsidR="00D77787">
        <w:t xml:space="preserve"> There will be an independent committee to review applications.  </w:t>
      </w:r>
      <w:r w:rsidR="00D77787" w:rsidRPr="00EB7D5F">
        <w:t>This Committee</w:t>
      </w:r>
      <w:r w:rsidR="00D77787">
        <w:t xml:space="preserve">, </w:t>
      </w:r>
      <w:proofErr w:type="spellStart"/>
      <w:r w:rsidR="00D77787">
        <w:t>PrimDISC</w:t>
      </w:r>
      <w:proofErr w:type="spellEnd"/>
      <w:r w:rsidR="00D77787">
        <w:t>,</w:t>
      </w:r>
      <w:r w:rsidR="00D77787" w:rsidRPr="00EB7D5F">
        <w:t xml:space="preserve"> will </w:t>
      </w:r>
      <w:r w:rsidR="00D77787">
        <w:t xml:space="preserve">work to provide access only to NDPCHS assets listed in: XXX, as some resources require a particular (different) mode of access.  This list/site will be reviewed at least on a yearly basis and ideally monthly to ensure it is maintained up-to-date.  </w:t>
      </w:r>
      <w:proofErr w:type="spellStart"/>
      <w:r w:rsidR="00D77787">
        <w:t>PrimDISC</w:t>
      </w:r>
      <w:proofErr w:type="spellEnd"/>
      <w:r w:rsidR="00D77787">
        <w:t xml:space="preserve"> acts on behalf of the NDPCHS Research Committee.</w:t>
      </w:r>
    </w:p>
    <w:p w14:paraId="4C8D4964" w14:textId="0DC8630B" w:rsidR="00A206F8" w:rsidRDefault="00A206F8">
      <w:pPr>
        <w:rPr>
          <w:b/>
        </w:rPr>
      </w:pPr>
    </w:p>
    <w:p w14:paraId="7869C1CF" w14:textId="77777777" w:rsidR="00D77787" w:rsidRPr="00D77787" w:rsidRDefault="00D77787" w:rsidP="00D77787">
      <w:pPr>
        <w:rPr>
          <w:b/>
        </w:rPr>
      </w:pPr>
      <w:r w:rsidRPr="00D77787">
        <w:rPr>
          <w:b/>
        </w:rPr>
        <w:t xml:space="preserve">Examples of the type of data (non-exhaustive list) that this document covers are: </w:t>
      </w:r>
    </w:p>
    <w:p w14:paraId="703EB884" w14:textId="6C44CE63" w:rsidR="00A206F8" w:rsidRPr="00B73770" w:rsidRDefault="00761EFC" w:rsidP="00B73770">
      <w:pPr>
        <w:pStyle w:val="ListParagraph"/>
        <w:numPr>
          <w:ilvl w:val="0"/>
          <w:numId w:val="6"/>
        </w:numPr>
      </w:pPr>
      <w:r>
        <w:t xml:space="preserve">Observational </w:t>
      </w:r>
      <w:r w:rsidR="00F47F33">
        <w:t>research within</w:t>
      </w:r>
      <w:r>
        <w:t xml:space="preserve"> </w:t>
      </w:r>
      <w:r w:rsidR="00EF4417">
        <w:t xml:space="preserve">hosted primary care research databases </w:t>
      </w:r>
      <w:r w:rsidR="00496233">
        <w:t>where appropriate</w:t>
      </w:r>
    </w:p>
    <w:p w14:paraId="35F7BC4C" w14:textId="50485993" w:rsidR="00A206F8" w:rsidRPr="00B73770" w:rsidRDefault="00A206F8" w:rsidP="00B73770">
      <w:pPr>
        <w:pStyle w:val="ListParagraph"/>
        <w:numPr>
          <w:ilvl w:val="0"/>
          <w:numId w:val="6"/>
        </w:numPr>
      </w:pPr>
      <w:r w:rsidRPr="00B73770">
        <w:t>Completed Trials data from the CTU</w:t>
      </w:r>
    </w:p>
    <w:p w14:paraId="3696294F" w14:textId="2B5F13E9" w:rsidR="00A206F8" w:rsidRPr="00B73770" w:rsidRDefault="00A206F8" w:rsidP="00B73770">
      <w:pPr>
        <w:pStyle w:val="ListParagraph"/>
        <w:numPr>
          <w:ilvl w:val="0"/>
          <w:numId w:val="6"/>
        </w:numPr>
      </w:pPr>
      <w:r w:rsidRPr="00B73770">
        <w:t>Completed cohort data (including early waves of follow-up)</w:t>
      </w:r>
    </w:p>
    <w:p w14:paraId="798B8E2F" w14:textId="707053BB" w:rsidR="00A206F8" w:rsidRPr="00CD679F" w:rsidRDefault="00A206F8" w:rsidP="00CD679F">
      <w:pPr>
        <w:pStyle w:val="ListParagraph"/>
        <w:numPr>
          <w:ilvl w:val="0"/>
          <w:numId w:val="6"/>
        </w:numPr>
      </w:pPr>
      <w:r w:rsidRPr="00CD679F">
        <w:t>Special consideration will be necessary for on-going studies where data is still being collected</w:t>
      </w:r>
    </w:p>
    <w:p w14:paraId="7B3875B1" w14:textId="338731FC" w:rsidR="00D06675" w:rsidRDefault="00D06675" w:rsidP="00D06675">
      <w:pPr>
        <w:rPr>
          <w:b/>
        </w:rPr>
      </w:pPr>
      <w:r>
        <w:t>This includes access to raw data, summary tables and analyses which have not been previously published where the Nuffield Department of Primary Care Health Sciences are the Information As</w:t>
      </w:r>
      <w:r w:rsidR="00CD679F">
        <w:t>set</w:t>
      </w:r>
      <w:r>
        <w:t xml:space="preserve"> </w:t>
      </w:r>
      <w:proofErr w:type="gramStart"/>
      <w:r>
        <w:t xml:space="preserve">Owners </w:t>
      </w:r>
      <w:r>
        <w:rPr>
          <w:spacing w:val="-8"/>
        </w:rPr>
        <w:t xml:space="preserve"> </w:t>
      </w:r>
      <w:r>
        <w:t>regardless</w:t>
      </w:r>
      <w:proofErr w:type="gramEnd"/>
      <w:r>
        <w:rPr>
          <w:spacing w:val="-4"/>
        </w:rPr>
        <w:t xml:space="preserve"> </w:t>
      </w:r>
      <w:r>
        <w:t>of</w:t>
      </w:r>
      <w:r>
        <w:rPr>
          <w:spacing w:val="-8"/>
        </w:rPr>
        <w:t xml:space="preserve"> </w:t>
      </w:r>
      <w:r>
        <w:t>the</w:t>
      </w:r>
      <w:r>
        <w:rPr>
          <w:spacing w:val="-7"/>
        </w:rPr>
        <w:t xml:space="preserve"> </w:t>
      </w:r>
      <w:r>
        <w:t>original</w:t>
      </w:r>
      <w:r>
        <w:rPr>
          <w:spacing w:val="-5"/>
        </w:rPr>
        <w:t xml:space="preserve"> </w:t>
      </w:r>
      <w:r>
        <w:t>study</w:t>
      </w:r>
      <w:r>
        <w:rPr>
          <w:spacing w:val="-5"/>
        </w:rPr>
        <w:t xml:space="preserve"> </w:t>
      </w:r>
      <w:r>
        <w:t>location</w:t>
      </w:r>
      <w:r>
        <w:rPr>
          <w:spacing w:val="-5"/>
        </w:rPr>
        <w:t xml:space="preserve"> </w:t>
      </w:r>
      <w:r>
        <w:t>or</w:t>
      </w:r>
      <w:r>
        <w:rPr>
          <w:spacing w:val="-6"/>
        </w:rPr>
        <w:t xml:space="preserve"> </w:t>
      </w:r>
      <w:r>
        <w:t>the</w:t>
      </w:r>
      <w:r>
        <w:rPr>
          <w:spacing w:val="-5"/>
        </w:rPr>
        <w:t xml:space="preserve"> </w:t>
      </w:r>
      <w:r>
        <w:t>source</w:t>
      </w:r>
      <w:r>
        <w:rPr>
          <w:spacing w:val="-7"/>
        </w:rPr>
        <w:t xml:space="preserve"> </w:t>
      </w:r>
      <w:r>
        <w:t>of funding.</w:t>
      </w:r>
      <w:r>
        <w:rPr>
          <w:spacing w:val="-8"/>
        </w:rPr>
        <w:t xml:space="preserve"> </w:t>
      </w:r>
    </w:p>
    <w:p w14:paraId="7E30D98B" w14:textId="1A59215B" w:rsidR="00555F5D" w:rsidRDefault="00AD5593" w:rsidP="00555F5D">
      <w:r>
        <w:t xml:space="preserve">This document sets out how </w:t>
      </w:r>
      <w:r w:rsidR="00DC3761">
        <w:t xml:space="preserve">the Terms of Reference for a unified approvals process </w:t>
      </w:r>
      <w:r>
        <w:t>may be operationalised.</w:t>
      </w:r>
      <w:r w:rsidR="00555F5D">
        <w:t xml:space="preserve">  </w:t>
      </w:r>
    </w:p>
    <w:p w14:paraId="30BD6D2A" w14:textId="77777777" w:rsidR="000E7036" w:rsidRPr="000E7036" w:rsidRDefault="000E7036" w:rsidP="000E7036">
      <w:pPr>
        <w:rPr>
          <w:b/>
          <w:i/>
        </w:rPr>
      </w:pPr>
      <w:r w:rsidRPr="000E7036">
        <w:rPr>
          <w:b/>
          <w:i/>
        </w:rPr>
        <w:t>Terms of Reference</w:t>
      </w:r>
    </w:p>
    <w:p w14:paraId="75C657A8" w14:textId="77777777" w:rsidR="00D77787" w:rsidRPr="0015775E" w:rsidRDefault="00D77787" w:rsidP="00D77787">
      <w:pPr>
        <w:pStyle w:val="ListParagraph"/>
        <w:numPr>
          <w:ilvl w:val="0"/>
          <w:numId w:val="8"/>
        </w:numPr>
        <w:spacing w:before="100" w:beforeAutospacing="1" w:after="100" w:afterAutospacing="1" w:line="240" w:lineRule="auto"/>
        <w:jc w:val="both"/>
        <w:textAlignment w:val="baseline"/>
        <w:rPr>
          <w:rFonts w:eastAsia="Times New Roman" w:cstheme="minorHAnsi"/>
        </w:rPr>
      </w:pPr>
      <w:r>
        <w:rPr>
          <w:rFonts w:eastAsia="Times New Roman" w:cstheme="minorHAnsi"/>
        </w:rPr>
        <w:t>To f</w:t>
      </w:r>
      <w:r w:rsidRPr="0015775E">
        <w:rPr>
          <w:rFonts w:eastAsia="Times New Roman" w:cstheme="minorHAnsi"/>
        </w:rPr>
        <w:t>ollow the criteria and principles set out by the NDPCHS Research Committee in assessing and advising on research applications to access NDPCHS databases</w:t>
      </w:r>
    </w:p>
    <w:p w14:paraId="6E11B1CE" w14:textId="4695A421" w:rsidR="000E7036" w:rsidRDefault="000E7036" w:rsidP="000E7036">
      <w:pPr>
        <w:pStyle w:val="ListParagraph"/>
        <w:numPr>
          <w:ilvl w:val="0"/>
          <w:numId w:val="8"/>
        </w:numPr>
        <w:spacing w:after="100" w:afterAutospacing="1" w:line="240" w:lineRule="auto"/>
        <w:jc w:val="both"/>
        <w:textAlignment w:val="baseline"/>
        <w:rPr>
          <w:rFonts w:eastAsia="Times New Roman" w:cstheme="minorHAnsi"/>
          <w:color w:val="000000"/>
          <w:lang w:eastAsia="en-GB"/>
        </w:rPr>
      </w:pPr>
      <w:r>
        <w:rPr>
          <w:rFonts w:eastAsia="Times New Roman" w:cstheme="minorHAnsi"/>
          <w:color w:val="000000"/>
          <w:lang w:eastAsia="en-GB"/>
        </w:rPr>
        <w:t>To provide timely and high-quality peer review of</w:t>
      </w:r>
      <w:r w:rsidRPr="00303DE7">
        <w:rPr>
          <w:rFonts w:eastAsia="Times New Roman" w:cstheme="minorHAnsi"/>
          <w:color w:val="000000"/>
          <w:lang w:eastAsia="en-GB"/>
        </w:rPr>
        <w:t xml:space="preserve"> the </w:t>
      </w:r>
      <w:r w:rsidRPr="00303DE7">
        <w:rPr>
          <w:rFonts w:eastAsia="Times New Roman" w:cstheme="minorHAnsi"/>
          <w:color w:val="333333"/>
        </w:rPr>
        <w:t>scientific (medical, epidemiological, methodological) merit of research protocols proposing access and use</w:t>
      </w:r>
      <w:r>
        <w:rPr>
          <w:rFonts w:eastAsia="Times New Roman" w:cstheme="minorHAnsi"/>
          <w:color w:val="333333"/>
        </w:rPr>
        <w:t xml:space="preserve"> </w:t>
      </w:r>
      <w:r>
        <w:rPr>
          <w:rFonts w:eastAsia="Times New Roman" w:cstheme="minorHAnsi"/>
          <w:color w:val="000000"/>
          <w:lang w:eastAsia="en-GB"/>
        </w:rPr>
        <w:t>of the patient data within its remit</w:t>
      </w:r>
    </w:p>
    <w:p w14:paraId="37DF2BF7" w14:textId="77777777" w:rsidR="000E7036" w:rsidRPr="00F64FDE" w:rsidRDefault="000E7036" w:rsidP="000E7036">
      <w:pPr>
        <w:pStyle w:val="ListParagraph"/>
        <w:numPr>
          <w:ilvl w:val="0"/>
          <w:numId w:val="8"/>
        </w:numPr>
        <w:spacing w:after="100" w:afterAutospacing="1" w:line="240" w:lineRule="auto"/>
        <w:jc w:val="both"/>
        <w:textAlignment w:val="baseline"/>
        <w:rPr>
          <w:rFonts w:eastAsia="Times New Roman" w:cstheme="minorHAnsi"/>
          <w:color w:val="000000"/>
          <w:lang w:eastAsia="en-GB"/>
        </w:rPr>
      </w:pPr>
      <w:r>
        <w:rPr>
          <w:rFonts w:eastAsia="Times New Roman" w:cstheme="minorHAnsi"/>
          <w:color w:val="000000"/>
          <w:lang w:eastAsia="en-GB"/>
        </w:rPr>
        <w:t>T</w:t>
      </w:r>
      <w:r w:rsidRPr="00F64FDE">
        <w:rPr>
          <w:rFonts w:eastAsia="Times New Roman" w:cstheme="minorHAnsi"/>
          <w:color w:val="000000"/>
          <w:lang w:eastAsia="en-GB"/>
        </w:rPr>
        <w:t>o provide timely and high-quality peer review of the feasibility, quality and public health value of applications proposing the use of the patient data within its remit</w:t>
      </w:r>
    </w:p>
    <w:p w14:paraId="07A66D96" w14:textId="77777777" w:rsidR="000E7036" w:rsidRPr="00C35022" w:rsidRDefault="000E7036" w:rsidP="000E7036">
      <w:pPr>
        <w:pStyle w:val="ListParagraph"/>
        <w:numPr>
          <w:ilvl w:val="0"/>
          <w:numId w:val="8"/>
        </w:numPr>
        <w:spacing w:after="100" w:afterAutospacing="1" w:line="240" w:lineRule="auto"/>
        <w:jc w:val="both"/>
        <w:textAlignment w:val="baseline"/>
        <w:rPr>
          <w:rFonts w:eastAsia="Times New Roman" w:cstheme="minorHAnsi"/>
          <w:color w:val="000000"/>
          <w:lang w:eastAsia="en-GB"/>
        </w:rPr>
      </w:pPr>
      <w:r>
        <w:rPr>
          <w:rFonts w:eastAsia="Times New Roman" w:cstheme="minorHAnsi"/>
          <w:color w:val="333333"/>
        </w:rPr>
        <w:t>To assess and advise on</w:t>
      </w:r>
      <w:r w:rsidRPr="00C35022">
        <w:rPr>
          <w:rFonts w:eastAsia="Times New Roman" w:cstheme="minorHAnsi"/>
          <w:color w:val="333333"/>
        </w:rPr>
        <w:t xml:space="preserve"> ethical or confidentiality issues that may arise during access and/or use of </w:t>
      </w:r>
      <w:r>
        <w:rPr>
          <w:rFonts w:eastAsia="Times New Roman" w:cstheme="minorHAnsi"/>
          <w:color w:val="333333"/>
        </w:rPr>
        <w:t>the patient</w:t>
      </w:r>
      <w:r w:rsidRPr="00C35022">
        <w:rPr>
          <w:rFonts w:eastAsia="Times New Roman" w:cstheme="minorHAnsi"/>
          <w:color w:val="333333"/>
        </w:rPr>
        <w:t xml:space="preserve"> data</w:t>
      </w:r>
      <w:r>
        <w:rPr>
          <w:rFonts w:eastAsia="Times New Roman" w:cstheme="minorHAnsi"/>
          <w:color w:val="333333"/>
        </w:rPr>
        <w:t xml:space="preserve"> within its remit</w:t>
      </w:r>
      <w:r w:rsidRPr="00C35022">
        <w:rPr>
          <w:rFonts w:eastAsia="Times New Roman" w:cstheme="minorHAnsi"/>
          <w:color w:val="333333"/>
        </w:rPr>
        <w:t xml:space="preserve"> in research studies, taking into consideration input from the research ethics committees</w:t>
      </w:r>
      <w:r>
        <w:rPr>
          <w:rFonts w:eastAsia="Times New Roman" w:cstheme="minorHAnsi"/>
          <w:color w:val="333333"/>
        </w:rPr>
        <w:t xml:space="preserve"> or other groups, as relevant</w:t>
      </w:r>
    </w:p>
    <w:p w14:paraId="16C6D894" w14:textId="77777777" w:rsidR="000E7036" w:rsidRDefault="000E7036" w:rsidP="000E7036">
      <w:pPr>
        <w:pStyle w:val="ListParagraph"/>
        <w:numPr>
          <w:ilvl w:val="0"/>
          <w:numId w:val="8"/>
        </w:numPr>
        <w:spacing w:after="100" w:afterAutospacing="1" w:line="240" w:lineRule="auto"/>
        <w:jc w:val="both"/>
        <w:textAlignment w:val="baseline"/>
        <w:rPr>
          <w:rFonts w:eastAsia="Times New Roman" w:cstheme="minorHAnsi"/>
          <w:color w:val="000000"/>
          <w:lang w:eastAsia="en-GB"/>
        </w:rPr>
      </w:pPr>
      <w:r w:rsidRPr="00303DE7">
        <w:rPr>
          <w:rFonts w:eastAsia="Times New Roman" w:cstheme="minorHAnsi"/>
          <w:color w:val="000000"/>
          <w:lang w:eastAsia="en-GB"/>
        </w:rPr>
        <w:t>To</w:t>
      </w:r>
      <w:r w:rsidRPr="00C74E1B">
        <w:rPr>
          <w:rFonts w:eastAsia="Times New Roman" w:cstheme="minorHAnsi"/>
          <w:color w:val="000000"/>
          <w:lang w:eastAsia="en-GB"/>
        </w:rPr>
        <w:t xml:space="preserve"> follow the criteria and principles set out by the </w:t>
      </w:r>
      <w:r>
        <w:rPr>
          <w:rFonts w:eastAsia="Times New Roman" w:cstheme="minorHAnsi"/>
          <w:color w:val="000000"/>
          <w:lang w:eastAsia="en-GB"/>
        </w:rPr>
        <w:t>relevant oversight boards</w:t>
      </w:r>
      <w:r w:rsidRPr="00C74E1B">
        <w:rPr>
          <w:rFonts w:eastAsia="Times New Roman" w:cstheme="minorHAnsi"/>
          <w:color w:val="000000"/>
          <w:lang w:eastAsia="en-GB"/>
        </w:rPr>
        <w:t xml:space="preserve"> in assessing and advising on applications </w:t>
      </w:r>
      <w:r>
        <w:rPr>
          <w:rFonts w:eastAsia="Times New Roman" w:cstheme="minorHAnsi"/>
          <w:color w:val="000000"/>
          <w:lang w:eastAsia="en-GB"/>
        </w:rPr>
        <w:t>to access the databases</w:t>
      </w:r>
    </w:p>
    <w:p w14:paraId="656F6B5F" w14:textId="77777777" w:rsidR="000E7036" w:rsidRPr="00F64FDE" w:rsidRDefault="000E7036" w:rsidP="000E7036">
      <w:pPr>
        <w:pStyle w:val="ListParagraph"/>
        <w:numPr>
          <w:ilvl w:val="0"/>
          <w:numId w:val="8"/>
        </w:numPr>
        <w:spacing w:after="100" w:afterAutospacing="1" w:line="240" w:lineRule="auto"/>
        <w:jc w:val="both"/>
        <w:textAlignment w:val="baseline"/>
        <w:rPr>
          <w:rFonts w:eastAsia="Times New Roman" w:cstheme="minorHAnsi"/>
          <w:color w:val="000000"/>
          <w:lang w:eastAsia="en-GB"/>
        </w:rPr>
      </w:pPr>
      <w:r>
        <w:rPr>
          <w:rFonts w:eastAsia="Times New Roman" w:cstheme="minorHAnsi"/>
          <w:color w:val="333333"/>
        </w:rPr>
        <w:t>To r</w:t>
      </w:r>
      <w:r w:rsidRPr="00C35022">
        <w:rPr>
          <w:rFonts w:eastAsia="Times New Roman" w:cstheme="minorHAnsi"/>
          <w:color w:val="333333"/>
        </w:rPr>
        <w:t>eview internal workings of the Committee to ensure consistency, efficiency and high standards of peer-review are maintained</w:t>
      </w:r>
    </w:p>
    <w:p w14:paraId="7E7711E5" w14:textId="77777777" w:rsidR="000E7036" w:rsidRDefault="000E7036" w:rsidP="000E7036">
      <w:pPr>
        <w:pStyle w:val="ListParagraph"/>
        <w:numPr>
          <w:ilvl w:val="0"/>
          <w:numId w:val="8"/>
        </w:numPr>
        <w:spacing w:after="100" w:afterAutospacing="1" w:line="240" w:lineRule="auto"/>
        <w:jc w:val="both"/>
        <w:textAlignment w:val="baseline"/>
        <w:rPr>
          <w:rFonts w:eastAsia="Times New Roman" w:cstheme="minorHAnsi"/>
          <w:color w:val="000000"/>
          <w:lang w:eastAsia="en-GB"/>
        </w:rPr>
      </w:pPr>
      <w:r w:rsidRPr="00C74E1B">
        <w:rPr>
          <w:rFonts w:eastAsia="Times New Roman" w:cstheme="minorHAnsi"/>
          <w:color w:val="000000"/>
          <w:lang w:eastAsia="en-GB"/>
        </w:rPr>
        <w:t xml:space="preserve">To advise the </w:t>
      </w:r>
      <w:r>
        <w:rPr>
          <w:rFonts w:eastAsia="Times New Roman" w:cstheme="minorHAnsi"/>
          <w:color w:val="000000"/>
          <w:lang w:eastAsia="en-GB"/>
        </w:rPr>
        <w:t>research</w:t>
      </w:r>
      <w:r w:rsidRPr="00C74E1B">
        <w:rPr>
          <w:rFonts w:eastAsia="Times New Roman" w:cstheme="minorHAnsi"/>
          <w:color w:val="000000"/>
          <w:lang w:eastAsia="en-GB"/>
        </w:rPr>
        <w:t xml:space="preserve"> team</w:t>
      </w:r>
      <w:r>
        <w:rPr>
          <w:rFonts w:eastAsia="Times New Roman" w:cstheme="minorHAnsi"/>
          <w:color w:val="000000"/>
          <w:lang w:eastAsia="en-GB"/>
        </w:rPr>
        <w:t>s</w:t>
      </w:r>
      <w:r w:rsidRPr="00C74E1B">
        <w:rPr>
          <w:rFonts w:eastAsia="Times New Roman" w:cstheme="minorHAnsi"/>
          <w:color w:val="000000"/>
          <w:lang w:eastAsia="en-GB"/>
        </w:rPr>
        <w:t xml:space="preserve"> on technical issues</w:t>
      </w:r>
      <w:r>
        <w:rPr>
          <w:rFonts w:eastAsia="Times New Roman" w:cstheme="minorHAnsi"/>
          <w:color w:val="000000"/>
          <w:lang w:eastAsia="en-GB"/>
        </w:rPr>
        <w:t xml:space="preserve"> that may arise.</w:t>
      </w:r>
    </w:p>
    <w:p w14:paraId="38F67E18" w14:textId="1EB35908" w:rsidR="000E7036" w:rsidRDefault="000E7036" w:rsidP="000E7036">
      <w:pPr>
        <w:pStyle w:val="ListParagraph"/>
        <w:numPr>
          <w:ilvl w:val="0"/>
          <w:numId w:val="8"/>
        </w:numPr>
        <w:spacing w:after="100" w:afterAutospacing="1" w:line="240" w:lineRule="auto"/>
        <w:jc w:val="both"/>
        <w:textAlignment w:val="baseline"/>
        <w:rPr>
          <w:rFonts w:eastAsia="Times New Roman" w:cstheme="minorHAnsi"/>
          <w:color w:val="000000"/>
          <w:lang w:eastAsia="en-GB"/>
        </w:rPr>
      </w:pPr>
      <w:r>
        <w:rPr>
          <w:rFonts w:eastAsia="Times New Roman" w:cstheme="minorHAnsi"/>
          <w:color w:val="000000"/>
          <w:lang w:eastAsia="en-GB"/>
        </w:rPr>
        <w:t>To advise on other specific issues within its remit, as requested.</w:t>
      </w:r>
    </w:p>
    <w:p w14:paraId="616B5049" w14:textId="4ABAD98F" w:rsidR="005B1FFF" w:rsidRPr="00C74E1B" w:rsidRDefault="005B1FFF" w:rsidP="000E7036">
      <w:pPr>
        <w:pStyle w:val="ListParagraph"/>
        <w:numPr>
          <w:ilvl w:val="0"/>
          <w:numId w:val="8"/>
        </w:numPr>
        <w:spacing w:after="100" w:afterAutospacing="1" w:line="240" w:lineRule="auto"/>
        <w:jc w:val="both"/>
        <w:textAlignment w:val="baseline"/>
        <w:rPr>
          <w:rFonts w:eastAsia="Times New Roman" w:cstheme="minorHAnsi"/>
          <w:color w:val="000000"/>
          <w:lang w:eastAsia="en-GB"/>
        </w:rPr>
      </w:pPr>
      <w:r w:rsidRPr="005B1FFF">
        <w:rPr>
          <w:rFonts w:eastAsia="Times New Roman" w:cstheme="minorHAnsi"/>
          <w:color w:val="000000"/>
          <w:highlight w:val="green"/>
          <w:lang w:eastAsia="en-GB"/>
        </w:rPr>
        <w:t>To assess if the proposed project requires ethical approval and to make any positive evaluation contingent to confirmation that this has been obtained</w:t>
      </w:r>
      <w:r>
        <w:rPr>
          <w:rFonts w:eastAsia="Times New Roman" w:cstheme="minorHAnsi"/>
          <w:color w:val="000000"/>
          <w:lang w:eastAsia="en-GB"/>
        </w:rPr>
        <w:t xml:space="preserve">.  </w:t>
      </w:r>
    </w:p>
    <w:p w14:paraId="13FDBB27" w14:textId="77777777" w:rsidR="00952770" w:rsidRDefault="00952770"/>
    <w:p w14:paraId="080175C7" w14:textId="3B6CB1CE" w:rsidR="00952770" w:rsidRPr="00AD5593" w:rsidRDefault="00AD5593">
      <w:pPr>
        <w:rPr>
          <w:b/>
        </w:rPr>
      </w:pPr>
      <w:r w:rsidRPr="00AD5593">
        <w:rPr>
          <w:b/>
        </w:rPr>
        <w:t>Operationalising the formation of the committee</w:t>
      </w:r>
    </w:p>
    <w:p w14:paraId="78218D71" w14:textId="77777777" w:rsidR="00D77787" w:rsidRPr="00D77787" w:rsidRDefault="00D77787" w:rsidP="00D77787">
      <w:pPr>
        <w:rPr>
          <w:b/>
          <w:i/>
        </w:rPr>
      </w:pPr>
      <w:r w:rsidRPr="00D77787">
        <w:rPr>
          <w:b/>
          <w:i/>
        </w:rPr>
        <w:t xml:space="preserve">Initially </w:t>
      </w:r>
      <w:proofErr w:type="spellStart"/>
      <w:r w:rsidRPr="00D77787">
        <w:rPr>
          <w:b/>
          <w:i/>
        </w:rPr>
        <w:t>PrimDISC</w:t>
      </w:r>
      <w:proofErr w:type="spellEnd"/>
      <w:r w:rsidRPr="00D77787">
        <w:rPr>
          <w:b/>
          <w:i/>
        </w:rPr>
        <w:t xml:space="preserve"> will consist of:</w:t>
      </w:r>
    </w:p>
    <w:p w14:paraId="4E3DEB81" w14:textId="7CDB57AB" w:rsidR="005A7830" w:rsidRDefault="005A7830" w:rsidP="005A7830">
      <w:pPr>
        <w:pStyle w:val="ListParagraph"/>
        <w:numPr>
          <w:ilvl w:val="0"/>
          <w:numId w:val="3"/>
        </w:numPr>
      </w:pPr>
      <w:r>
        <w:t>Independent Chair</w:t>
      </w:r>
      <w:r w:rsidRPr="00EC25D1">
        <w:t xml:space="preserve"> </w:t>
      </w:r>
      <w:r>
        <w:t xml:space="preserve">appointed by the </w:t>
      </w:r>
      <w:r w:rsidR="00CC7EA7">
        <w:t>D</w:t>
      </w:r>
      <w:r>
        <w:t>epartment’s Research Lead and/or Head of Department</w:t>
      </w:r>
      <w:r w:rsidR="00D77787">
        <w:t xml:space="preserve">: Professor </w:t>
      </w:r>
      <w:r w:rsidR="007B5950">
        <w:t>Rafael Perera</w:t>
      </w:r>
    </w:p>
    <w:p w14:paraId="46B49217" w14:textId="05BF3901" w:rsidR="00FF49AA" w:rsidRDefault="00FF49AA" w:rsidP="005A7830">
      <w:pPr>
        <w:pStyle w:val="ListParagraph"/>
        <w:numPr>
          <w:ilvl w:val="0"/>
          <w:numId w:val="3"/>
        </w:numPr>
      </w:pPr>
      <w:r>
        <w:t>Deputy Chair will be appointed</w:t>
      </w:r>
      <w:r w:rsidR="00F10CF7">
        <w:t xml:space="preserve"> in competition and</w:t>
      </w:r>
      <w:r w:rsidR="00B53623">
        <w:t xml:space="preserve"> judged by the </w:t>
      </w:r>
      <w:r w:rsidR="00F10CF7">
        <w:t>HoD, Chair and Department Research Lead</w:t>
      </w:r>
    </w:p>
    <w:p w14:paraId="38809FE9" w14:textId="770E9F1B" w:rsidR="005A7830" w:rsidRDefault="005A7830" w:rsidP="005A7830">
      <w:pPr>
        <w:pStyle w:val="ListParagraph"/>
        <w:numPr>
          <w:ilvl w:val="0"/>
          <w:numId w:val="3"/>
        </w:numPr>
      </w:pPr>
      <w:r>
        <w:t xml:space="preserve">3 academic members from </w:t>
      </w:r>
      <w:r w:rsidRPr="00CC7EA7">
        <w:t>NDPCHS</w:t>
      </w:r>
      <w:r>
        <w:t xml:space="preserve"> Oxford as nominated by the Research Lead and/or Head of Department</w:t>
      </w:r>
      <w:r w:rsidR="00D77787">
        <w:t>:</w:t>
      </w:r>
      <w:r>
        <w:t xml:space="preserve"> Professor Stavros Petrou, </w:t>
      </w:r>
      <w:r w:rsidR="00D77787">
        <w:t xml:space="preserve">Professor </w:t>
      </w:r>
      <w:r>
        <w:t>Clare Bankhead,</w:t>
      </w:r>
      <w:r w:rsidR="00D77787">
        <w:t xml:space="preserve"> and </w:t>
      </w:r>
      <w:r>
        <w:t>Dr James Sheppard)</w:t>
      </w:r>
    </w:p>
    <w:p w14:paraId="058436A3" w14:textId="4F453E4F" w:rsidR="005A7830" w:rsidRDefault="00AC7043" w:rsidP="004D14AA">
      <w:pPr>
        <w:pStyle w:val="ListParagraph"/>
        <w:numPr>
          <w:ilvl w:val="0"/>
          <w:numId w:val="3"/>
        </w:numPr>
      </w:pPr>
      <w:r>
        <w:t xml:space="preserve">3 </w:t>
      </w:r>
      <w:r w:rsidR="005A7830">
        <w:t xml:space="preserve">external academic members from Oxford and </w:t>
      </w:r>
      <w:r w:rsidR="00996726">
        <w:t>elsewhere (advertised positions</w:t>
      </w:r>
      <w:r w:rsidR="005A7830">
        <w:t>)</w:t>
      </w:r>
    </w:p>
    <w:p w14:paraId="3C30C163" w14:textId="745D2286" w:rsidR="005A7830" w:rsidRDefault="0098367A" w:rsidP="00241276">
      <w:pPr>
        <w:pStyle w:val="ListParagraph"/>
        <w:numPr>
          <w:ilvl w:val="0"/>
          <w:numId w:val="3"/>
        </w:numPr>
        <w:jc w:val="both"/>
      </w:pPr>
      <w:r>
        <w:t>2</w:t>
      </w:r>
      <w:r w:rsidR="00F47278">
        <w:t xml:space="preserve"> </w:t>
      </w:r>
      <w:r w:rsidR="005A7830">
        <w:t>Patient and Participant Involvement representative</w:t>
      </w:r>
    </w:p>
    <w:p w14:paraId="6D80F73E" w14:textId="3D42F243" w:rsidR="00715B7A" w:rsidRDefault="00E626B8" w:rsidP="00FF49AA">
      <w:pPr>
        <w:rPr>
          <w:rFonts w:cstheme="minorHAnsi"/>
          <w:color w:val="000000"/>
          <w:shd w:val="clear" w:color="auto" w:fill="FFFFFF"/>
        </w:rPr>
      </w:pPr>
      <w:r>
        <w:t>Members may stand for a maximum of five years.</w:t>
      </w:r>
      <w:r w:rsidR="0096593C">
        <w:t xml:space="preserve">  </w:t>
      </w:r>
      <w:r w:rsidR="0096593C">
        <w:rPr>
          <w:rFonts w:cstheme="minorHAnsi"/>
          <w:color w:val="000000"/>
          <w:shd w:val="clear" w:color="auto" w:fill="FFFFFF"/>
        </w:rPr>
        <w:t>Existing members will sit on the committee for 2 or 3 years, whilst other members are appointed, so that the membership is gradually replaced throughout the years.</w:t>
      </w:r>
      <w:r w:rsidR="00D77787">
        <w:rPr>
          <w:rFonts w:cstheme="minorHAnsi"/>
          <w:color w:val="000000"/>
          <w:shd w:val="clear" w:color="auto" w:fill="FFFFFF"/>
        </w:rPr>
        <w:t xml:space="preserve"> </w:t>
      </w:r>
    </w:p>
    <w:p w14:paraId="47F52778" w14:textId="2B711D93" w:rsidR="000F6F74" w:rsidRDefault="00D77787" w:rsidP="00FF49AA">
      <w:pPr>
        <w:rPr>
          <w:rFonts w:cstheme="minorHAnsi"/>
          <w:color w:val="000000"/>
          <w:shd w:val="clear" w:color="auto" w:fill="FFFFFF"/>
        </w:rPr>
      </w:pPr>
      <w:r w:rsidRPr="00BC7F63">
        <w:rPr>
          <w:rFonts w:cstheme="minorHAnsi"/>
          <w:color w:val="000000"/>
          <w:shd w:val="clear" w:color="auto" w:fill="FFFFFF"/>
        </w:rPr>
        <w:t xml:space="preserve">We expect representation of the different assets discussed in </w:t>
      </w:r>
      <w:proofErr w:type="spellStart"/>
      <w:r w:rsidRPr="00BC7F63">
        <w:rPr>
          <w:rFonts w:cstheme="minorHAnsi"/>
          <w:color w:val="000000"/>
          <w:shd w:val="clear" w:color="auto" w:fill="FFFFFF"/>
        </w:rPr>
        <w:t>PrimDISC</w:t>
      </w:r>
      <w:proofErr w:type="spellEnd"/>
      <w:r w:rsidRPr="00BC7F63">
        <w:rPr>
          <w:rFonts w:cstheme="minorHAnsi"/>
          <w:color w:val="000000"/>
          <w:shd w:val="clear" w:color="auto" w:fill="FFFFFF"/>
        </w:rPr>
        <w:t xml:space="preserve"> (e.g. ORCHID) although they might not be members of </w:t>
      </w:r>
      <w:proofErr w:type="spellStart"/>
      <w:r w:rsidRPr="00BC7F63">
        <w:rPr>
          <w:rFonts w:cstheme="minorHAnsi"/>
          <w:color w:val="000000"/>
          <w:shd w:val="clear" w:color="auto" w:fill="FFFFFF"/>
        </w:rPr>
        <w:t>PrimDISC</w:t>
      </w:r>
      <w:proofErr w:type="spellEnd"/>
      <w:r w:rsidRPr="00BC7F63">
        <w:rPr>
          <w:rFonts w:cstheme="minorHAnsi"/>
          <w:color w:val="000000"/>
          <w:shd w:val="clear" w:color="auto" w:fill="FFFFFF"/>
        </w:rPr>
        <w:t xml:space="preserve"> and clear guidelines regarding Conflict of Interests will be followed. </w:t>
      </w:r>
    </w:p>
    <w:p w14:paraId="14CBD278" w14:textId="7F47D4B1" w:rsidR="00896714" w:rsidRPr="00B53623" w:rsidRDefault="00715B7A" w:rsidP="00FF49AA">
      <w:pPr>
        <w:rPr>
          <w:rFonts w:cstheme="minorHAnsi"/>
          <w:lang w:val="en-US"/>
        </w:rPr>
      </w:pPr>
      <w:r w:rsidRPr="00715B7A">
        <w:rPr>
          <w:rFonts w:cstheme="minorHAnsi"/>
          <w:color w:val="000000"/>
          <w:shd w:val="clear" w:color="auto" w:fill="FFFFFF"/>
        </w:rPr>
        <w:t xml:space="preserve">The committee will be </w:t>
      </w:r>
      <w:r>
        <w:rPr>
          <w:rFonts w:cstheme="minorHAnsi"/>
          <w:color w:val="000000"/>
          <w:shd w:val="clear" w:color="auto" w:fill="FFFFFF"/>
        </w:rPr>
        <w:t>committed</w:t>
      </w:r>
      <w:r w:rsidRPr="00715B7A">
        <w:rPr>
          <w:rFonts w:cstheme="minorHAnsi"/>
          <w:lang w:val="en-US"/>
        </w:rPr>
        <w:t xml:space="preserve"> to equality</w:t>
      </w:r>
      <w:r>
        <w:rPr>
          <w:rFonts w:cstheme="minorHAnsi"/>
          <w:lang w:val="en-US"/>
        </w:rPr>
        <w:t>,</w:t>
      </w:r>
      <w:r w:rsidRPr="00715B7A">
        <w:rPr>
          <w:rFonts w:cstheme="minorHAnsi"/>
          <w:lang w:val="en-US"/>
        </w:rPr>
        <w:t xml:space="preserve"> and will value and strive for diversity in the membership</w:t>
      </w:r>
      <w:r>
        <w:rPr>
          <w:rFonts w:cstheme="minorHAnsi"/>
          <w:lang w:val="en-US"/>
        </w:rPr>
        <w:t>.</w:t>
      </w:r>
    </w:p>
    <w:p w14:paraId="5536E3EE" w14:textId="0312ABB7" w:rsidR="00896714" w:rsidRPr="00715B7A" w:rsidRDefault="00896714" w:rsidP="00FF49AA">
      <w:pPr>
        <w:rPr>
          <w:rFonts w:cstheme="minorHAnsi"/>
          <w:color w:val="000000"/>
          <w:shd w:val="clear" w:color="auto" w:fill="FFFFFF"/>
        </w:rPr>
      </w:pPr>
      <w:r>
        <w:rPr>
          <w:rFonts w:cstheme="minorHAnsi"/>
          <w:color w:val="000000"/>
          <w:shd w:val="clear" w:color="auto" w:fill="FFFFFF"/>
        </w:rPr>
        <w:t>Meetings will be considered as quorate when attendance is 50% +1.</w:t>
      </w:r>
    </w:p>
    <w:p w14:paraId="2B206D40" w14:textId="6463777D" w:rsidR="00FF49AA" w:rsidRPr="00FF49AA" w:rsidRDefault="00FF49AA" w:rsidP="00FF49AA">
      <w:pPr>
        <w:rPr>
          <w:b/>
        </w:rPr>
      </w:pPr>
      <w:r w:rsidRPr="00FF49AA">
        <w:rPr>
          <w:b/>
        </w:rPr>
        <w:t>Secretariat and resourcing</w:t>
      </w:r>
    </w:p>
    <w:p w14:paraId="3B100605" w14:textId="47693D7D" w:rsidR="00952770" w:rsidRPr="008D2563" w:rsidRDefault="00F573CC" w:rsidP="008D2563">
      <w:r w:rsidRPr="008D2563">
        <w:t>S</w:t>
      </w:r>
      <w:r w:rsidR="00952770" w:rsidRPr="008D2563">
        <w:t xml:space="preserve">ecretariat </w:t>
      </w:r>
      <w:r w:rsidRPr="008D2563">
        <w:t xml:space="preserve">formed by </w:t>
      </w:r>
      <w:r w:rsidR="00952770" w:rsidRPr="008D2563">
        <w:t>combin</w:t>
      </w:r>
      <w:r w:rsidRPr="008D2563">
        <w:t xml:space="preserve">ing </w:t>
      </w:r>
      <w:r w:rsidR="00952770" w:rsidRPr="008D2563">
        <w:t xml:space="preserve">the existing </w:t>
      </w:r>
      <w:r w:rsidR="00EC25D1" w:rsidRPr="008D2563">
        <w:t xml:space="preserve">staff </w:t>
      </w:r>
      <w:r w:rsidR="00FF49AA" w:rsidRPr="008D2563">
        <w:t xml:space="preserve">and secretariat </w:t>
      </w:r>
      <w:r w:rsidR="00EC25D1" w:rsidRPr="008D2563">
        <w:t>from ORCHID</w:t>
      </w:r>
      <w:r w:rsidR="00FF49AA" w:rsidRPr="008D2563">
        <w:t xml:space="preserve"> and other Department Professional Service staff</w:t>
      </w:r>
      <w:r w:rsidR="008D2563">
        <w:t xml:space="preserve">. </w:t>
      </w:r>
      <w:r w:rsidR="00A45928" w:rsidRPr="008D2563">
        <w:t xml:space="preserve"> (Lucy Curtin</w:t>
      </w:r>
      <w:r w:rsidR="008D2563" w:rsidRPr="008D2563">
        <w:t xml:space="preserve"> </w:t>
      </w:r>
      <w:r w:rsidR="008D2563">
        <w:t xml:space="preserve">has agreed, others to be considered include </w:t>
      </w:r>
      <w:r w:rsidR="00F23FC0">
        <w:rPr>
          <w:rFonts w:eastAsia="Times New Roman" w:cs="Segoe UI"/>
          <w:lang w:eastAsia="en-GB"/>
        </w:rPr>
        <w:t xml:space="preserve">Ivelina Yonova, </w:t>
      </w:r>
      <w:r w:rsidR="00FF49AA" w:rsidRPr="008D2563">
        <w:t>Sneha Anand</w:t>
      </w:r>
      <w:r w:rsidR="008D2563">
        <w:t>,</w:t>
      </w:r>
      <w:r w:rsidR="00EC25D1" w:rsidRPr="008D2563">
        <w:t xml:space="preserve"> </w:t>
      </w:r>
      <w:proofErr w:type="gramStart"/>
      <w:r w:rsidR="00543C94" w:rsidRPr="008D2563">
        <w:t>Jolanta</w:t>
      </w:r>
      <w:proofErr w:type="gramEnd"/>
      <w:r w:rsidR="00543C94" w:rsidRPr="008D2563">
        <w:t xml:space="preserve"> Pa</w:t>
      </w:r>
      <w:r w:rsidR="00EC25D1" w:rsidRPr="008D2563">
        <w:t>rkinson</w:t>
      </w:r>
      <w:r w:rsidR="008D2563">
        <w:t>)</w:t>
      </w:r>
      <w:r w:rsidR="00D77787">
        <w:t>.</w:t>
      </w:r>
      <w:r w:rsidRPr="008D2563">
        <w:t xml:space="preserve">  </w:t>
      </w:r>
    </w:p>
    <w:p w14:paraId="05F433EF" w14:textId="5C2D412C" w:rsidR="0029710A" w:rsidRDefault="0029710A" w:rsidP="00FF49AA">
      <w:pPr>
        <w:pStyle w:val="ListParagraph"/>
        <w:numPr>
          <w:ilvl w:val="0"/>
          <w:numId w:val="1"/>
        </w:numPr>
      </w:pPr>
      <w:r>
        <w:t xml:space="preserve">Applications will be submitted to the Secretariat.  </w:t>
      </w:r>
    </w:p>
    <w:p w14:paraId="6A8BF5F3" w14:textId="4E1ACD61" w:rsidR="0029710A" w:rsidRDefault="0029710A" w:rsidP="0029710A">
      <w:pPr>
        <w:pStyle w:val="ListParagraph"/>
        <w:numPr>
          <w:ilvl w:val="0"/>
          <w:numId w:val="1"/>
        </w:numPr>
      </w:pPr>
      <w:r>
        <w:t>Feasibility or appropriateness of a proposed analysis will be screened by the secretariat to ensure that the proposed projects (and applicants) are suitable.  If this is unclear they will liaise with the PIs on the appropriate data resources before review by the committee.   In case of re-use of primary research studies (departmental trials, cohorts), advice from the PI/IAO is likely.</w:t>
      </w:r>
    </w:p>
    <w:p w14:paraId="7545D196" w14:textId="06FECF9D" w:rsidR="00735802" w:rsidRPr="00735802" w:rsidRDefault="00735802" w:rsidP="00735802">
      <w:pPr>
        <w:pStyle w:val="ListParagraph"/>
        <w:numPr>
          <w:ilvl w:val="0"/>
          <w:numId w:val="1"/>
        </w:numPr>
      </w:pPr>
      <w:r w:rsidRPr="00735802">
        <w:t>At the time of application the Secretariat will ensure that the applicant must be a bona fide researcher employed or studying at an appropriate institution</w:t>
      </w:r>
    </w:p>
    <w:p w14:paraId="16676A49" w14:textId="77777777" w:rsidR="0029710A" w:rsidRDefault="0029710A" w:rsidP="0029710A">
      <w:pPr>
        <w:pStyle w:val="ListParagraph"/>
        <w:numPr>
          <w:ilvl w:val="0"/>
          <w:numId w:val="1"/>
        </w:numPr>
      </w:pPr>
      <w:r>
        <w:t>This will also apply to the situation where researchers are developing grant applications.  Committee review will be necessary once funding has been secured, or the project is likely to go ahead.</w:t>
      </w:r>
    </w:p>
    <w:p w14:paraId="7E8AFC25" w14:textId="5CA48873" w:rsidR="0029710A" w:rsidRDefault="0029710A" w:rsidP="00FF49AA">
      <w:pPr>
        <w:pStyle w:val="ListParagraph"/>
        <w:numPr>
          <w:ilvl w:val="0"/>
          <w:numId w:val="1"/>
        </w:numPr>
      </w:pPr>
      <w:r>
        <w:t>Secretariat will assign each validated project to two members of the committee to review before the next meeting.</w:t>
      </w:r>
    </w:p>
    <w:p w14:paraId="68DE3AA0" w14:textId="672CB8E0" w:rsidR="00241276" w:rsidRDefault="00241276" w:rsidP="00FF49AA">
      <w:pPr>
        <w:pStyle w:val="ListParagraph"/>
        <w:numPr>
          <w:ilvl w:val="0"/>
          <w:numId w:val="2"/>
        </w:numPr>
      </w:pPr>
      <w:r>
        <w:t xml:space="preserve">Expansion is likely </w:t>
      </w:r>
      <w:r w:rsidR="00776E32">
        <w:t xml:space="preserve">needed </w:t>
      </w:r>
      <w:r>
        <w:t>to share workload of project review</w:t>
      </w:r>
      <w:r w:rsidR="00FF49AA">
        <w:t xml:space="preserve"> – particularly for ORCHID</w:t>
      </w:r>
    </w:p>
    <w:p w14:paraId="1EAE4303" w14:textId="18DD48E5" w:rsidR="007551EF" w:rsidRDefault="000C7528" w:rsidP="000F09D7">
      <w:pPr>
        <w:pStyle w:val="ListParagraph"/>
        <w:numPr>
          <w:ilvl w:val="0"/>
          <w:numId w:val="2"/>
        </w:numPr>
      </w:pPr>
      <w:r>
        <w:t>Resources will be needed for this process</w:t>
      </w:r>
    </w:p>
    <w:p w14:paraId="02C3F677" w14:textId="77777777" w:rsidR="009365EA" w:rsidRDefault="009365EA">
      <w:pPr>
        <w:rPr>
          <w:b/>
        </w:rPr>
      </w:pPr>
      <w:r>
        <w:rPr>
          <w:b/>
        </w:rPr>
        <w:br w:type="page"/>
      </w:r>
    </w:p>
    <w:p w14:paraId="23F8BECF" w14:textId="1E2168F3" w:rsidR="00241276" w:rsidRPr="00241276" w:rsidRDefault="00241276">
      <w:pPr>
        <w:rPr>
          <w:b/>
        </w:rPr>
      </w:pPr>
      <w:r w:rsidRPr="00241276">
        <w:rPr>
          <w:b/>
        </w:rPr>
        <w:lastRenderedPageBreak/>
        <w:t>Committee meetings</w:t>
      </w:r>
    </w:p>
    <w:p w14:paraId="72247679" w14:textId="6C9F27A0" w:rsidR="006F6544" w:rsidRDefault="006F6544" w:rsidP="00D30C66">
      <w:pPr>
        <w:pStyle w:val="ListParagraph"/>
        <w:numPr>
          <w:ilvl w:val="0"/>
          <w:numId w:val="2"/>
        </w:numPr>
      </w:pPr>
      <w:r>
        <w:t>Monthly meet</w:t>
      </w:r>
      <w:r w:rsidR="00E626B8">
        <w:t>ings will be convened (may need to be longer than 2 hours)</w:t>
      </w:r>
    </w:p>
    <w:p w14:paraId="4A4FD45F" w14:textId="52971010" w:rsidR="008B13EA" w:rsidRPr="008B13EA" w:rsidRDefault="008B13EA" w:rsidP="008B13EA">
      <w:pPr>
        <w:pStyle w:val="ListParagraph"/>
        <w:numPr>
          <w:ilvl w:val="0"/>
          <w:numId w:val="2"/>
        </w:numPr>
      </w:pPr>
      <w:r>
        <w:t>A</w:t>
      </w:r>
      <w:r w:rsidRPr="008B13EA">
        <w:t xml:space="preserve"> detailed proposal must be provided, and must be demonstrably in the public interest; - to be determined by the committee</w:t>
      </w:r>
    </w:p>
    <w:p w14:paraId="71065A33" w14:textId="7D650C33" w:rsidR="006F6544" w:rsidRDefault="006F6544" w:rsidP="00D30C66">
      <w:pPr>
        <w:pStyle w:val="ListParagraph"/>
        <w:numPr>
          <w:ilvl w:val="0"/>
          <w:numId w:val="2"/>
        </w:numPr>
      </w:pPr>
      <w:r>
        <w:t>Fast track/urgent applications may be expedited if there is an urgent scientific need to do so.</w:t>
      </w:r>
    </w:p>
    <w:p w14:paraId="289207C6" w14:textId="7CF5B081" w:rsidR="006F6544" w:rsidRDefault="006F6544" w:rsidP="00D30C66">
      <w:pPr>
        <w:pStyle w:val="ListParagraph"/>
        <w:numPr>
          <w:ilvl w:val="0"/>
          <w:numId w:val="2"/>
        </w:numPr>
      </w:pPr>
      <w:r>
        <w:t>If many applications are deemed fast track then the frequency of committee meetings may be increased to adapt to the demand.</w:t>
      </w:r>
    </w:p>
    <w:p w14:paraId="78814510" w14:textId="40B95CC1" w:rsidR="006F6544" w:rsidRDefault="0029710A" w:rsidP="00D30C66">
      <w:pPr>
        <w:pStyle w:val="ListParagraph"/>
        <w:numPr>
          <w:ilvl w:val="0"/>
          <w:numId w:val="2"/>
        </w:numPr>
      </w:pPr>
      <w:r>
        <w:t>T</w:t>
      </w:r>
      <w:r w:rsidR="006F6544">
        <w:t xml:space="preserve">wo members of the committee to review </w:t>
      </w:r>
      <w:r>
        <w:t xml:space="preserve">each application </w:t>
      </w:r>
      <w:r w:rsidR="006F6544">
        <w:t xml:space="preserve">before the next meeting. </w:t>
      </w:r>
    </w:p>
    <w:p w14:paraId="614B0545" w14:textId="0D9A37F5" w:rsidR="006F6544" w:rsidRDefault="006F6544" w:rsidP="00D30C66">
      <w:pPr>
        <w:pStyle w:val="ListParagraph"/>
        <w:numPr>
          <w:ilvl w:val="0"/>
          <w:numId w:val="2"/>
        </w:numPr>
      </w:pPr>
      <w:r>
        <w:t>These members will present their review to the whole committee with a recommendation for approval, revise and resubmit</w:t>
      </w:r>
      <w:r w:rsidR="00567836">
        <w:t>,</w:t>
      </w:r>
      <w:r>
        <w:t xml:space="preserve"> or reject.</w:t>
      </w:r>
    </w:p>
    <w:p w14:paraId="223ADCAB" w14:textId="4FD65B66" w:rsidR="00E626B8" w:rsidRDefault="00E626B8" w:rsidP="00D30C66">
      <w:pPr>
        <w:pStyle w:val="ListParagraph"/>
        <w:numPr>
          <w:ilvl w:val="0"/>
          <w:numId w:val="2"/>
        </w:numPr>
      </w:pPr>
      <w:r>
        <w:t>Applications will be circulated to all members for information and to inform discussion during the monthly meeting</w:t>
      </w:r>
    </w:p>
    <w:p w14:paraId="3441DD6A" w14:textId="77777777" w:rsidR="00FF49AA" w:rsidRDefault="00FF49AA" w:rsidP="00FF49AA">
      <w:pPr>
        <w:pStyle w:val="ListParagraph"/>
        <w:numPr>
          <w:ilvl w:val="0"/>
          <w:numId w:val="3"/>
        </w:numPr>
      </w:pPr>
      <w:r>
        <w:t xml:space="preserve">Where a committee member is an investigator on an application to be discussed, they must step out of the meeting for the relevant discussions.  </w:t>
      </w:r>
    </w:p>
    <w:p w14:paraId="5DD7F649" w14:textId="77777777" w:rsidR="00FF49AA" w:rsidRDefault="00FF49AA" w:rsidP="00FF49AA">
      <w:pPr>
        <w:pStyle w:val="ListParagraph"/>
        <w:numPr>
          <w:ilvl w:val="0"/>
          <w:numId w:val="3"/>
        </w:numPr>
      </w:pPr>
      <w:r>
        <w:t>Where an application is to re-use or re-analyse a Departmental Trial or Cohort, the PI or Information Asset Owner will be notified in advance and asked to attend the meeting to present any particular considerations pertaining to that dataset.</w:t>
      </w:r>
    </w:p>
    <w:p w14:paraId="00E8F4D2" w14:textId="57E63DAB" w:rsidR="00E45D6F" w:rsidRDefault="00E45D6F"/>
    <w:p w14:paraId="54BF3133" w14:textId="462B3911" w:rsidR="00F522BB" w:rsidRPr="00776E32" w:rsidRDefault="007C5FBD">
      <w:pPr>
        <w:rPr>
          <w:b/>
        </w:rPr>
      </w:pPr>
      <w:r w:rsidRPr="00776E32">
        <w:rPr>
          <w:b/>
        </w:rPr>
        <w:t xml:space="preserve">Particular considerations </w:t>
      </w:r>
    </w:p>
    <w:p w14:paraId="6D7276BC" w14:textId="6C780AE1" w:rsidR="00F522BB" w:rsidRPr="00B34ED4" w:rsidRDefault="00B34ED4" w:rsidP="00CB4E7B">
      <w:pPr>
        <w:pStyle w:val="CommentText"/>
        <w:numPr>
          <w:ilvl w:val="0"/>
          <w:numId w:val="11"/>
        </w:numPr>
        <w:rPr>
          <w:sz w:val="22"/>
          <w:szCs w:val="22"/>
        </w:rPr>
      </w:pPr>
      <w:r w:rsidRPr="00B34ED4">
        <w:rPr>
          <w:sz w:val="22"/>
          <w:szCs w:val="22"/>
        </w:rPr>
        <w:t xml:space="preserve">Some </w:t>
      </w:r>
      <w:r w:rsidRPr="00B34ED4">
        <w:rPr>
          <w:rStyle w:val="CommentReference"/>
          <w:sz w:val="22"/>
          <w:szCs w:val="22"/>
        </w:rPr>
        <w:t/>
      </w:r>
      <w:r w:rsidRPr="00B34ED4">
        <w:rPr>
          <w:sz w:val="22"/>
          <w:szCs w:val="22"/>
        </w:rPr>
        <w:t xml:space="preserve">Data resources bases may need other external approvals e.g. </w:t>
      </w:r>
      <w:r w:rsidR="00F522BB" w:rsidRPr="00B34ED4">
        <w:rPr>
          <w:sz w:val="22"/>
          <w:szCs w:val="22"/>
        </w:rPr>
        <w:t xml:space="preserve">ORCHID </w:t>
      </w:r>
      <w:r w:rsidR="007C5FBD" w:rsidRPr="00B34ED4">
        <w:rPr>
          <w:sz w:val="22"/>
          <w:szCs w:val="22"/>
        </w:rPr>
        <w:t xml:space="preserve">access </w:t>
      </w:r>
      <w:r w:rsidR="00776E32" w:rsidRPr="00B34ED4">
        <w:rPr>
          <w:sz w:val="22"/>
          <w:szCs w:val="22"/>
        </w:rPr>
        <w:t xml:space="preserve">will </w:t>
      </w:r>
      <w:r>
        <w:rPr>
          <w:sz w:val="22"/>
          <w:szCs w:val="22"/>
        </w:rPr>
        <w:t xml:space="preserve">require </w:t>
      </w:r>
      <w:r w:rsidR="00F522BB" w:rsidRPr="00B34ED4">
        <w:rPr>
          <w:sz w:val="22"/>
          <w:szCs w:val="22"/>
        </w:rPr>
        <w:t xml:space="preserve">approval from </w:t>
      </w:r>
      <w:r>
        <w:rPr>
          <w:sz w:val="22"/>
          <w:szCs w:val="22"/>
        </w:rPr>
        <w:t>this committee</w:t>
      </w:r>
      <w:r w:rsidR="00776E32" w:rsidRPr="00B34ED4">
        <w:rPr>
          <w:sz w:val="22"/>
          <w:szCs w:val="22"/>
        </w:rPr>
        <w:t xml:space="preserve">, </w:t>
      </w:r>
      <w:r w:rsidR="00F522BB" w:rsidRPr="00B34ED4">
        <w:rPr>
          <w:sz w:val="22"/>
          <w:szCs w:val="22"/>
        </w:rPr>
        <w:t xml:space="preserve">the </w:t>
      </w:r>
      <w:r w:rsidR="007C5FBD" w:rsidRPr="00B34ED4">
        <w:rPr>
          <w:sz w:val="22"/>
          <w:szCs w:val="22"/>
        </w:rPr>
        <w:t>Joint Research and Surveillance Centre Committee (JRSSCC)</w:t>
      </w:r>
      <w:r w:rsidR="00F522BB" w:rsidRPr="00B34ED4">
        <w:rPr>
          <w:sz w:val="22"/>
          <w:szCs w:val="22"/>
        </w:rPr>
        <w:t xml:space="preserve">, and </w:t>
      </w:r>
      <w:r>
        <w:rPr>
          <w:sz w:val="22"/>
          <w:szCs w:val="22"/>
        </w:rPr>
        <w:t xml:space="preserve">currently, </w:t>
      </w:r>
      <w:r w:rsidR="00F522BB" w:rsidRPr="00B34ED4">
        <w:rPr>
          <w:sz w:val="22"/>
          <w:szCs w:val="22"/>
        </w:rPr>
        <w:t>individual ethical approval for each project</w:t>
      </w:r>
      <w:r w:rsidR="00776E32" w:rsidRPr="00B34ED4">
        <w:rPr>
          <w:sz w:val="22"/>
          <w:szCs w:val="22"/>
        </w:rPr>
        <w:t xml:space="preserve">.  </w:t>
      </w:r>
      <w:r>
        <w:rPr>
          <w:sz w:val="22"/>
          <w:szCs w:val="22"/>
        </w:rPr>
        <w:t>O</w:t>
      </w:r>
      <w:r w:rsidR="00F522BB" w:rsidRPr="00B34ED4">
        <w:rPr>
          <w:sz w:val="22"/>
          <w:szCs w:val="22"/>
        </w:rPr>
        <w:t>verarching ethical approval is underway.</w:t>
      </w:r>
    </w:p>
    <w:p w14:paraId="42F8C953" w14:textId="54464A48" w:rsidR="00090B8F" w:rsidRDefault="00F522BB" w:rsidP="00373159">
      <w:pPr>
        <w:pStyle w:val="ListParagraph"/>
        <w:numPr>
          <w:ilvl w:val="0"/>
          <w:numId w:val="11"/>
        </w:numPr>
      </w:pPr>
      <w:r>
        <w:t xml:space="preserve">Trials and Cohort data from existing and historical projects are all conducted under individual ethical approval – ethical and other approvals for reanalysis of these data will be decided on a case-by-case basis – but it is likely that new analyses may require ethical amendment.  The case for this will be informed by the PI/IAO for the data required.  </w:t>
      </w:r>
    </w:p>
    <w:p w14:paraId="279C7F67" w14:textId="77777777" w:rsidR="00B34ED4" w:rsidRDefault="00B34ED4" w:rsidP="00B34ED4">
      <w:pPr>
        <w:pStyle w:val="ListParagraph"/>
      </w:pPr>
    </w:p>
    <w:p w14:paraId="2160EBDE" w14:textId="55C6B41E" w:rsidR="00090B8F" w:rsidRPr="00090B8F" w:rsidRDefault="00090B8F" w:rsidP="00373159">
      <w:pPr>
        <w:pStyle w:val="ListParagraph"/>
        <w:numPr>
          <w:ilvl w:val="0"/>
          <w:numId w:val="11"/>
        </w:numPr>
      </w:pPr>
      <w:r w:rsidRPr="00090B8F">
        <w:t>Research is often conducted over a prolonged period of time, necessitating an extensive amount of work prior to any output generation.  It may therefore, be necessary to have a period of time whereby data from primary research projects are restricted to the PI and the research team.  This will be considered on a case-by-case basis for permissions to re-use bespoke data.</w:t>
      </w:r>
    </w:p>
    <w:p w14:paraId="1C470316" w14:textId="77777777" w:rsidR="00090B8F" w:rsidRDefault="00090B8F" w:rsidP="00F63179">
      <w:pPr>
        <w:pStyle w:val="ListParagraph"/>
      </w:pPr>
    </w:p>
    <w:p w14:paraId="2243B8D4" w14:textId="77777777" w:rsidR="00907F14" w:rsidRDefault="00907F14" w:rsidP="00F522BB"/>
    <w:p w14:paraId="4033CCFD" w14:textId="6D15A897" w:rsidR="00F522BB" w:rsidRPr="00565CAA" w:rsidRDefault="00776E32">
      <w:pPr>
        <w:rPr>
          <w:b/>
        </w:rPr>
      </w:pPr>
      <w:r w:rsidRPr="00565CAA">
        <w:rPr>
          <w:b/>
        </w:rPr>
        <w:t>Requirements for accessing data</w:t>
      </w:r>
    </w:p>
    <w:p w14:paraId="1AA9A780" w14:textId="0B4B9689" w:rsidR="000E7036" w:rsidRPr="008B13EA" w:rsidRDefault="000E7036" w:rsidP="000E7036">
      <w:pPr>
        <w:pStyle w:val="ListParagraph"/>
        <w:widowControl w:val="0"/>
        <w:numPr>
          <w:ilvl w:val="0"/>
          <w:numId w:val="9"/>
        </w:numPr>
        <w:tabs>
          <w:tab w:val="left" w:pos="475"/>
        </w:tabs>
        <w:autoSpaceDE w:val="0"/>
        <w:autoSpaceDN w:val="0"/>
        <w:spacing w:before="121" w:after="0" w:line="240" w:lineRule="auto"/>
        <w:ind w:right="110" w:hanging="357"/>
        <w:contextualSpacing w:val="0"/>
        <w:jc w:val="both"/>
      </w:pPr>
      <w:r w:rsidRPr="008B13EA">
        <w:rPr>
          <w:i/>
        </w:rPr>
        <w:t xml:space="preserve">Privacy considerations: </w:t>
      </w:r>
      <w:r w:rsidRPr="008B13EA">
        <w:t xml:space="preserve">participant level data </w:t>
      </w:r>
      <w:r w:rsidR="00776E32" w:rsidRPr="008B13EA">
        <w:t xml:space="preserve">will only be released as </w:t>
      </w:r>
      <w:proofErr w:type="spellStart"/>
      <w:r w:rsidRPr="008B13EA">
        <w:t>pseudonymised</w:t>
      </w:r>
      <w:proofErr w:type="spellEnd"/>
      <w:r w:rsidR="00776E32" w:rsidRPr="008B13EA">
        <w:t>, or fully anonymised</w:t>
      </w:r>
      <w:r w:rsidR="00313E70" w:rsidRPr="008B13EA">
        <w:t xml:space="preserve"> data</w:t>
      </w:r>
      <w:r w:rsidR="00776E32" w:rsidRPr="008B13EA">
        <w:t>.  A</w:t>
      </w:r>
      <w:r w:rsidRPr="008B13EA">
        <w:t xml:space="preserve">pplicants </w:t>
      </w:r>
      <w:r w:rsidR="00565CAA" w:rsidRPr="008B13EA">
        <w:t xml:space="preserve">must not </w:t>
      </w:r>
      <w:r w:rsidRPr="008B13EA">
        <w:t>attempt to identify</w:t>
      </w:r>
      <w:r w:rsidRPr="008B13EA">
        <w:rPr>
          <w:spacing w:val="-6"/>
        </w:rPr>
        <w:t xml:space="preserve"> </w:t>
      </w:r>
      <w:r w:rsidRPr="008B13EA">
        <w:t>participants;</w:t>
      </w:r>
      <w:r w:rsidR="000C7528" w:rsidRPr="008B13EA">
        <w:t xml:space="preserve"> - to be ensured by the IAO</w:t>
      </w:r>
    </w:p>
    <w:p w14:paraId="798BAB18" w14:textId="5352945B" w:rsidR="000E7036" w:rsidRPr="008B13EA" w:rsidRDefault="000E7036" w:rsidP="000E7036">
      <w:pPr>
        <w:pStyle w:val="ListParagraph"/>
        <w:widowControl w:val="0"/>
        <w:numPr>
          <w:ilvl w:val="0"/>
          <w:numId w:val="9"/>
        </w:numPr>
        <w:tabs>
          <w:tab w:val="left" w:pos="475"/>
        </w:tabs>
        <w:autoSpaceDE w:val="0"/>
        <w:autoSpaceDN w:val="0"/>
        <w:spacing w:before="121" w:after="0" w:line="240" w:lineRule="auto"/>
        <w:ind w:right="109" w:hanging="357"/>
        <w:contextualSpacing w:val="0"/>
        <w:jc w:val="both"/>
      </w:pPr>
      <w:r w:rsidRPr="008B13EA">
        <w:rPr>
          <w:i/>
        </w:rPr>
        <w:t xml:space="preserve">Data-transfer agreement: </w:t>
      </w:r>
      <w:r w:rsidRPr="008B13EA">
        <w:t>data-transfer agreement</w:t>
      </w:r>
      <w:r w:rsidR="00565CAA" w:rsidRPr="008B13EA">
        <w:t>s must be signed between the applicant and the NDPCHS SIRO, or delegated signatory.</w:t>
      </w:r>
      <w:r w:rsidR="000C7528" w:rsidRPr="008B13EA">
        <w:t xml:space="preserve"> – between the IAO, Applicant and SIRO</w:t>
      </w:r>
    </w:p>
    <w:p w14:paraId="4FDA2D01" w14:textId="00EC6B57" w:rsidR="00565CAA" w:rsidRPr="00B34ED4" w:rsidRDefault="000E7036" w:rsidP="00B34ED4">
      <w:pPr>
        <w:pStyle w:val="ListParagraph"/>
        <w:widowControl w:val="0"/>
        <w:numPr>
          <w:ilvl w:val="0"/>
          <w:numId w:val="9"/>
        </w:numPr>
        <w:tabs>
          <w:tab w:val="left" w:pos="475"/>
        </w:tabs>
        <w:autoSpaceDE w:val="0"/>
        <w:autoSpaceDN w:val="0"/>
        <w:spacing w:before="118" w:after="0" w:line="240" w:lineRule="auto"/>
        <w:ind w:right="109"/>
        <w:contextualSpacing w:val="0"/>
        <w:jc w:val="both"/>
      </w:pPr>
      <w:r w:rsidRPr="00B34ED4">
        <w:rPr>
          <w:i/>
        </w:rPr>
        <w:t xml:space="preserve">Return of derived data: </w:t>
      </w:r>
      <w:r w:rsidRPr="00B34ED4">
        <w:t>applicants must undertake to provide to the Department, within a specified period, any derived data not requiring linkage to other</w:t>
      </w:r>
      <w:r w:rsidRPr="00B34ED4">
        <w:rPr>
          <w:spacing w:val="-7"/>
        </w:rPr>
        <w:t xml:space="preserve"> </w:t>
      </w:r>
      <w:r w:rsidRPr="00B34ED4">
        <w:t>studies.</w:t>
      </w:r>
      <w:r w:rsidR="000C7528" w:rsidRPr="00B34ED4">
        <w:t xml:space="preserve"> </w:t>
      </w:r>
    </w:p>
    <w:p w14:paraId="08DE8B00" w14:textId="77777777" w:rsidR="00F10CF7" w:rsidRPr="00F10CF7" w:rsidRDefault="00F10CF7" w:rsidP="00F10CF7">
      <w:pPr>
        <w:pStyle w:val="ListParagraph"/>
        <w:widowControl w:val="0"/>
        <w:tabs>
          <w:tab w:val="left" w:pos="475"/>
        </w:tabs>
        <w:autoSpaceDE w:val="0"/>
        <w:autoSpaceDN w:val="0"/>
        <w:spacing w:before="118" w:after="0" w:line="240" w:lineRule="auto"/>
        <w:ind w:left="117" w:right="109"/>
        <w:contextualSpacing w:val="0"/>
        <w:jc w:val="both"/>
        <w:rPr>
          <w:highlight w:val="green"/>
        </w:rPr>
      </w:pPr>
    </w:p>
    <w:p w14:paraId="06931737" w14:textId="77777777" w:rsidR="000E7036" w:rsidRPr="00BC7F63" w:rsidRDefault="000E7036" w:rsidP="000E7036">
      <w:pPr>
        <w:pStyle w:val="Heading2"/>
        <w:spacing w:before="121"/>
      </w:pPr>
      <w:r w:rsidRPr="00BC7F63">
        <w:t>Constraints on access to data resources</w:t>
      </w:r>
    </w:p>
    <w:p w14:paraId="71AD1E38" w14:textId="77777777" w:rsidR="00BC7F63" w:rsidRPr="00BC7F63" w:rsidRDefault="00BC7F63" w:rsidP="000E7036">
      <w:pPr>
        <w:pStyle w:val="BodyText"/>
        <w:spacing w:before="120"/>
        <w:ind w:left="117" w:right="108"/>
        <w:jc w:val="both"/>
      </w:pPr>
    </w:p>
    <w:p w14:paraId="75D00F01" w14:textId="37442DDA" w:rsidR="000E7036" w:rsidRPr="00BC7F63" w:rsidRDefault="00BC7F63" w:rsidP="00BC7F63">
      <w:pPr>
        <w:pStyle w:val="BodyText"/>
        <w:spacing w:before="120"/>
        <w:ind w:left="117" w:right="108"/>
        <w:jc w:val="both"/>
      </w:pPr>
      <w:r w:rsidRPr="00BC7F63">
        <w:t xml:space="preserve">The Department has clear guidelines regarding the formal constraints on access to data sources. Members of </w:t>
      </w:r>
      <w:proofErr w:type="spellStart"/>
      <w:r w:rsidRPr="00BC7F63">
        <w:t>PrimDISC</w:t>
      </w:r>
      <w:proofErr w:type="spellEnd"/>
      <w:r w:rsidRPr="00BC7F63">
        <w:t xml:space="preserve"> are referred to the relevant documentation for clarification/explanation but the main aspects to consider in any proposal are: </w:t>
      </w:r>
    </w:p>
    <w:p w14:paraId="49DC8ABB" w14:textId="77777777" w:rsidR="000E7036" w:rsidRPr="00BC7F63" w:rsidRDefault="000E7036" w:rsidP="000E7036">
      <w:pPr>
        <w:pStyle w:val="BodyText"/>
        <w:spacing w:before="2"/>
        <w:rPr>
          <w:sz w:val="18"/>
        </w:rPr>
      </w:pPr>
    </w:p>
    <w:p w14:paraId="2CC2FB08" w14:textId="4D9FC801" w:rsidR="000E7036" w:rsidRPr="00BC7F63" w:rsidRDefault="000E7036" w:rsidP="000E7036">
      <w:pPr>
        <w:pStyle w:val="ListParagraph"/>
        <w:widowControl w:val="0"/>
        <w:numPr>
          <w:ilvl w:val="0"/>
          <w:numId w:val="9"/>
        </w:numPr>
        <w:tabs>
          <w:tab w:val="left" w:pos="475"/>
        </w:tabs>
        <w:autoSpaceDE w:val="0"/>
        <w:autoSpaceDN w:val="0"/>
        <w:spacing w:after="0" w:line="240" w:lineRule="auto"/>
        <w:ind w:right="109" w:hanging="357"/>
        <w:contextualSpacing w:val="0"/>
        <w:jc w:val="both"/>
      </w:pPr>
      <w:r w:rsidRPr="00BC7F63">
        <w:rPr>
          <w:i/>
        </w:rPr>
        <w:t xml:space="preserve">Consent/legal: </w:t>
      </w:r>
      <w:r w:rsidRPr="00BC7F63">
        <w:t xml:space="preserve">the scope of the consent obtained </w:t>
      </w:r>
    </w:p>
    <w:p w14:paraId="4F25263E" w14:textId="77777777" w:rsidR="000E7036" w:rsidRPr="00BC7F63" w:rsidRDefault="000E7036" w:rsidP="000E7036">
      <w:pPr>
        <w:pStyle w:val="BodyText"/>
        <w:rPr>
          <w:sz w:val="18"/>
        </w:rPr>
      </w:pPr>
    </w:p>
    <w:p w14:paraId="0B78E4CA" w14:textId="73661199" w:rsidR="00907F14" w:rsidRPr="00BC7F63" w:rsidRDefault="000E7036" w:rsidP="00B034A2">
      <w:pPr>
        <w:pStyle w:val="ListParagraph"/>
        <w:widowControl w:val="0"/>
        <w:numPr>
          <w:ilvl w:val="0"/>
          <w:numId w:val="9"/>
        </w:numPr>
        <w:tabs>
          <w:tab w:val="left" w:pos="475"/>
        </w:tabs>
        <w:autoSpaceDE w:val="0"/>
        <w:autoSpaceDN w:val="0"/>
        <w:spacing w:after="0" w:line="240" w:lineRule="auto"/>
        <w:ind w:right="109" w:hanging="357"/>
        <w:contextualSpacing w:val="0"/>
        <w:jc w:val="both"/>
      </w:pPr>
      <w:r w:rsidRPr="00BC7F63">
        <w:rPr>
          <w:i/>
        </w:rPr>
        <w:t>Ownership/control:</w:t>
      </w:r>
      <w:r w:rsidR="00BC7F63" w:rsidRPr="00BC7F63">
        <w:rPr>
          <w:i/>
        </w:rPr>
        <w:t xml:space="preserve"> </w:t>
      </w:r>
      <w:r w:rsidR="00BC7F63" w:rsidRPr="00BC7F63">
        <w:rPr>
          <w:iCs/>
        </w:rPr>
        <w:t>who owns the</w:t>
      </w:r>
      <w:r w:rsidR="00BC7F63" w:rsidRPr="00BC7F63">
        <w:rPr>
          <w:i/>
        </w:rPr>
        <w:t xml:space="preserve"> </w:t>
      </w:r>
      <w:r w:rsidRPr="00BC7F63">
        <w:t xml:space="preserve">data </w:t>
      </w:r>
    </w:p>
    <w:p w14:paraId="2DBE1B16" w14:textId="77777777" w:rsidR="00BC7F63" w:rsidRPr="00BC7F63" w:rsidRDefault="00BC7F63" w:rsidP="00BC7F63">
      <w:pPr>
        <w:widowControl w:val="0"/>
        <w:tabs>
          <w:tab w:val="left" w:pos="475"/>
        </w:tabs>
        <w:autoSpaceDE w:val="0"/>
        <w:autoSpaceDN w:val="0"/>
        <w:spacing w:after="0" w:line="240" w:lineRule="auto"/>
        <w:ind w:right="109"/>
        <w:jc w:val="both"/>
      </w:pPr>
    </w:p>
    <w:p w14:paraId="1C8881FB" w14:textId="113C4AD1" w:rsidR="0029710A" w:rsidRPr="00BC7F63" w:rsidRDefault="0029710A" w:rsidP="0029710A">
      <w:pPr>
        <w:pStyle w:val="ListParagraph"/>
        <w:widowControl w:val="0"/>
        <w:numPr>
          <w:ilvl w:val="0"/>
          <w:numId w:val="9"/>
        </w:numPr>
        <w:tabs>
          <w:tab w:val="left" w:pos="475"/>
        </w:tabs>
        <w:autoSpaceDE w:val="0"/>
        <w:autoSpaceDN w:val="0"/>
        <w:spacing w:after="0" w:line="240" w:lineRule="auto"/>
        <w:ind w:right="107" w:hanging="357"/>
        <w:contextualSpacing w:val="0"/>
        <w:jc w:val="both"/>
      </w:pPr>
      <w:r w:rsidRPr="00BC7F63">
        <w:rPr>
          <w:i/>
        </w:rPr>
        <w:t xml:space="preserve">Political sensitivities: </w:t>
      </w:r>
      <w:r w:rsidR="00BC7F63" w:rsidRPr="00BC7F63">
        <w:t>these could be specific to the place (e.g. country) where the research occurred</w:t>
      </w:r>
    </w:p>
    <w:p w14:paraId="3BEF306F" w14:textId="77777777" w:rsidR="0029710A" w:rsidRPr="00BC7F63" w:rsidRDefault="0029710A" w:rsidP="0029710A">
      <w:pPr>
        <w:pStyle w:val="BodyText"/>
        <w:spacing w:before="2"/>
        <w:rPr>
          <w:sz w:val="18"/>
        </w:rPr>
      </w:pPr>
    </w:p>
    <w:p w14:paraId="6221D948" w14:textId="6AA22BC1" w:rsidR="0029710A" w:rsidRPr="00BC7F63" w:rsidRDefault="0029710A" w:rsidP="00BC7F63">
      <w:pPr>
        <w:pStyle w:val="BodyText"/>
        <w:ind w:right="108"/>
        <w:jc w:val="both"/>
      </w:pPr>
      <w:r w:rsidRPr="00BC7F63">
        <w:t>These issues are recognised in UKRI’s Common Principles on Data Policy (in particular, in Principle</w:t>
      </w:r>
      <w:r w:rsidRPr="00BC7F63">
        <w:rPr>
          <w:spacing w:val="-16"/>
        </w:rPr>
        <w:t xml:space="preserve"> </w:t>
      </w:r>
      <w:r w:rsidRPr="00BC7F63">
        <w:t>5).</w:t>
      </w:r>
    </w:p>
    <w:p w14:paraId="47997985" w14:textId="77777777" w:rsidR="0029710A" w:rsidRDefault="0029710A" w:rsidP="0029710A"/>
    <w:p w14:paraId="29914872" w14:textId="77777777" w:rsidR="00907B99" w:rsidRPr="00E84354" w:rsidRDefault="00907B99" w:rsidP="00907B99">
      <w:pPr>
        <w:rPr>
          <w:b/>
        </w:rPr>
      </w:pPr>
      <w:r w:rsidRPr="00E84354">
        <w:rPr>
          <w:b/>
        </w:rPr>
        <w:t>Summary of Application Flow</w:t>
      </w:r>
    </w:p>
    <w:p w14:paraId="7FFB14B3" w14:textId="77777777" w:rsidR="00907B99" w:rsidRDefault="00907B99" w:rsidP="00907B99">
      <w:pPr>
        <w:pStyle w:val="ListParagraph"/>
        <w:numPr>
          <w:ilvl w:val="0"/>
          <w:numId w:val="4"/>
        </w:numPr>
      </w:pPr>
      <w:r>
        <w:t>Applications for data access submitted to Secretariat</w:t>
      </w:r>
      <w:r w:rsidRPr="00901A66">
        <w:t xml:space="preserve"> </w:t>
      </w:r>
    </w:p>
    <w:p w14:paraId="5E561FC5" w14:textId="77777777" w:rsidR="00907B99" w:rsidRDefault="00907B99" w:rsidP="00907B99">
      <w:pPr>
        <w:pStyle w:val="ListParagraph"/>
        <w:numPr>
          <w:ilvl w:val="1"/>
          <w:numId w:val="4"/>
        </w:numPr>
      </w:pPr>
      <w:r>
        <w:t>Feasibility/design issues: Secretariat advise suitability of applicants, with guidance from PI if necessary Secretariat (not forwarded to Committee)</w:t>
      </w:r>
    </w:p>
    <w:p w14:paraId="290DB570" w14:textId="77777777" w:rsidR="00907B99" w:rsidRDefault="00907B99" w:rsidP="00907B99">
      <w:pPr>
        <w:pStyle w:val="ListParagraph"/>
        <w:numPr>
          <w:ilvl w:val="0"/>
          <w:numId w:val="4"/>
        </w:numPr>
      </w:pPr>
      <w:r>
        <w:t xml:space="preserve">Full applications: Secretariat assign 2 lead reviewers </w:t>
      </w:r>
    </w:p>
    <w:p w14:paraId="0DF6609C" w14:textId="77777777" w:rsidR="00907B99" w:rsidRDefault="00907B99" w:rsidP="00907B99">
      <w:pPr>
        <w:pStyle w:val="ListParagraph"/>
        <w:numPr>
          <w:ilvl w:val="0"/>
          <w:numId w:val="4"/>
        </w:numPr>
      </w:pPr>
      <w:r>
        <w:t>All applications circulated to committee ahead of meeting for information</w:t>
      </w:r>
    </w:p>
    <w:p w14:paraId="3FE4E8C2" w14:textId="77777777" w:rsidR="00907B99" w:rsidRDefault="00907B99" w:rsidP="00907B99">
      <w:pPr>
        <w:pStyle w:val="ListParagraph"/>
        <w:numPr>
          <w:ilvl w:val="0"/>
          <w:numId w:val="4"/>
        </w:numPr>
      </w:pPr>
      <w:r>
        <w:t>At meeting:  lead reviewers present each application</w:t>
      </w:r>
    </w:p>
    <w:p w14:paraId="4BC23B22" w14:textId="77777777" w:rsidR="00907B99" w:rsidRDefault="00907B99" w:rsidP="00907B99">
      <w:pPr>
        <w:pStyle w:val="ListParagraph"/>
        <w:numPr>
          <w:ilvl w:val="0"/>
          <w:numId w:val="4"/>
        </w:numPr>
      </w:pPr>
      <w:r>
        <w:t>Committee decides: accept; revise and resubmit; reject</w:t>
      </w:r>
    </w:p>
    <w:p w14:paraId="75636D53" w14:textId="77777777" w:rsidR="00907B99" w:rsidRDefault="00907B99" w:rsidP="00907B99">
      <w:pPr>
        <w:pStyle w:val="ListParagraph"/>
        <w:numPr>
          <w:ilvl w:val="0"/>
          <w:numId w:val="4"/>
        </w:numPr>
      </w:pPr>
      <w:r>
        <w:t>Secretariat notify applicants</w:t>
      </w:r>
    </w:p>
    <w:p w14:paraId="02661187" w14:textId="77777777" w:rsidR="00907B99" w:rsidRDefault="00907B99" w:rsidP="00907B99">
      <w:pPr>
        <w:pStyle w:val="ListParagraph"/>
        <w:numPr>
          <w:ilvl w:val="0"/>
          <w:numId w:val="4"/>
        </w:numPr>
      </w:pPr>
      <w:r>
        <w:t>Ethical approval sought (ORCHID and primary research studies)</w:t>
      </w:r>
    </w:p>
    <w:p w14:paraId="20BB0BA3" w14:textId="77777777" w:rsidR="00907B99" w:rsidRDefault="00907B99" w:rsidP="00907B99">
      <w:pPr>
        <w:pStyle w:val="ListParagraph"/>
        <w:numPr>
          <w:ilvl w:val="0"/>
          <w:numId w:val="4"/>
        </w:numPr>
      </w:pPr>
      <w:r>
        <w:t>Study abstract published on website</w:t>
      </w:r>
    </w:p>
    <w:p w14:paraId="42BA2A68" w14:textId="77777777" w:rsidR="00907B99" w:rsidRDefault="00907B99" w:rsidP="00907B99">
      <w:pPr>
        <w:pStyle w:val="ListParagraph"/>
        <w:numPr>
          <w:ilvl w:val="0"/>
          <w:numId w:val="4"/>
        </w:numPr>
      </w:pPr>
      <w:r>
        <w:t>Data transfer forms completed prior to secure transfer of data</w:t>
      </w:r>
    </w:p>
    <w:p w14:paraId="294D2A8F" w14:textId="2ECE1F49" w:rsidR="00907B99" w:rsidRPr="00907B99" w:rsidRDefault="00907B99" w:rsidP="00907B99">
      <w:pPr>
        <w:rPr>
          <w:b/>
        </w:rPr>
      </w:pPr>
      <w:bookmarkStart w:id="0" w:name="_GoBack"/>
      <w:r w:rsidRPr="00907B99">
        <w:rPr>
          <w:b/>
        </w:rPr>
        <w:t xml:space="preserve">Enquiries regarding data access and applications should be sent to </w:t>
      </w:r>
      <w:hyperlink r:id="rId10" w:history="1">
        <w:r w:rsidR="00EE3F7C">
          <w:rPr>
            <w:rStyle w:val="Hyperlink"/>
          </w:rPr>
          <w:t>orchid-reg@phc.ox.ac.uk</w:t>
        </w:r>
      </w:hyperlink>
      <w:r w:rsidR="00EE3F7C">
        <w:t xml:space="preserve"> </w:t>
      </w:r>
    </w:p>
    <w:bookmarkEnd w:id="0"/>
    <w:p w14:paraId="68F8A191" w14:textId="171328AD" w:rsidR="000E7036" w:rsidRPr="000E7036" w:rsidRDefault="000E7036" w:rsidP="00543181">
      <w:pPr>
        <w:pStyle w:val="ListParagraph"/>
        <w:widowControl w:val="0"/>
        <w:tabs>
          <w:tab w:val="left" w:pos="475"/>
        </w:tabs>
        <w:autoSpaceDE w:val="0"/>
        <w:autoSpaceDN w:val="0"/>
        <w:spacing w:before="84" w:after="0" w:line="240" w:lineRule="auto"/>
        <w:ind w:left="358" w:right="110"/>
        <w:contextualSpacing w:val="0"/>
        <w:jc w:val="both"/>
        <w:rPr>
          <w:sz w:val="17"/>
          <w:highlight w:val="green"/>
        </w:rPr>
      </w:pPr>
    </w:p>
    <w:sectPr w:rsidR="000E7036" w:rsidRPr="000E7036">
      <w:head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A359A" w16cex:dateUtc="2021-05-27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D84529" w16cid:durableId="2433BF74"/>
  <w16cid:commentId w16cid:paraId="6A756C85" w16cid:durableId="245A35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891AB" w14:textId="77777777" w:rsidR="00DB521E" w:rsidRDefault="00DB521E" w:rsidP="00A206F8">
      <w:pPr>
        <w:spacing w:after="0" w:line="240" w:lineRule="auto"/>
      </w:pPr>
      <w:r>
        <w:separator/>
      </w:r>
    </w:p>
  </w:endnote>
  <w:endnote w:type="continuationSeparator" w:id="0">
    <w:p w14:paraId="5EAE8965" w14:textId="77777777" w:rsidR="00DB521E" w:rsidRDefault="00DB521E" w:rsidP="00A2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9436A" w14:textId="77777777" w:rsidR="00DB521E" w:rsidRDefault="00DB521E" w:rsidP="00A206F8">
      <w:pPr>
        <w:spacing w:after="0" w:line="240" w:lineRule="auto"/>
      </w:pPr>
      <w:r>
        <w:separator/>
      </w:r>
    </w:p>
  </w:footnote>
  <w:footnote w:type="continuationSeparator" w:id="0">
    <w:p w14:paraId="4123851E" w14:textId="77777777" w:rsidR="00DB521E" w:rsidRDefault="00DB521E" w:rsidP="00A20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9641C" w14:textId="4677C949" w:rsidR="00A206F8" w:rsidRDefault="00A206F8">
    <w:pPr>
      <w:pStyle w:val="Header"/>
    </w:pPr>
    <w:r>
      <w:t xml:space="preserve">Version </w:t>
    </w:r>
    <w:r w:rsidR="001F0549">
      <w:t>3: 29 June 2021</w:t>
    </w:r>
  </w:p>
  <w:p w14:paraId="7C71C3D1" w14:textId="77777777" w:rsidR="001F0549" w:rsidRDefault="001F0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47ABF"/>
    <w:multiLevelType w:val="hybridMultilevel"/>
    <w:tmpl w:val="6F8AA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97A56"/>
    <w:multiLevelType w:val="hybridMultilevel"/>
    <w:tmpl w:val="B7FA7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140AF"/>
    <w:multiLevelType w:val="hybridMultilevel"/>
    <w:tmpl w:val="92BA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B5461"/>
    <w:multiLevelType w:val="hybridMultilevel"/>
    <w:tmpl w:val="B062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D3819"/>
    <w:multiLevelType w:val="hybridMultilevel"/>
    <w:tmpl w:val="D37CEA3E"/>
    <w:lvl w:ilvl="0" w:tplc="08090011">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75466E"/>
    <w:multiLevelType w:val="hybridMultilevel"/>
    <w:tmpl w:val="B248F5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137BCB"/>
    <w:multiLevelType w:val="hybridMultilevel"/>
    <w:tmpl w:val="A906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C44B94"/>
    <w:multiLevelType w:val="hybridMultilevel"/>
    <w:tmpl w:val="4150E7CE"/>
    <w:lvl w:ilvl="0" w:tplc="4ADEB812">
      <w:numFmt w:val="bullet"/>
      <w:lvlText w:val=""/>
      <w:lvlJc w:val="left"/>
      <w:pPr>
        <w:ind w:left="358" w:hanging="358"/>
      </w:pPr>
      <w:rPr>
        <w:rFonts w:ascii="Symbol" w:eastAsia="Symbol" w:hAnsi="Symbol" w:cs="Symbol" w:hint="default"/>
        <w:w w:val="100"/>
        <w:sz w:val="22"/>
        <w:szCs w:val="22"/>
        <w:lang w:val="en-GB" w:eastAsia="en-GB" w:bidi="en-GB"/>
      </w:rPr>
    </w:lvl>
    <w:lvl w:ilvl="1" w:tplc="FD101266">
      <w:start w:val="1"/>
      <w:numFmt w:val="decimal"/>
      <w:lvlText w:val="%2."/>
      <w:lvlJc w:val="left"/>
      <w:pPr>
        <w:ind w:left="721" w:hanging="360"/>
      </w:pPr>
      <w:rPr>
        <w:rFonts w:ascii="Calibri" w:eastAsia="Calibri" w:hAnsi="Calibri" w:cs="Calibri" w:hint="default"/>
        <w:w w:val="100"/>
        <w:sz w:val="22"/>
        <w:szCs w:val="22"/>
        <w:lang w:val="en-GB" w:eastAsia="en-GB" w:bidi="en-GB"/>
      </w:rPr>
    </w:lvl>
    <w:lvl w:ilvl="2" w:tplc="5298FBF0">
      <w:numFmt w:val="bullet"/>
      <w:lvlText w:val="•"/>
      <w:lvlJc w:val="left"/>
      <w:pPr>
        <w:ind w:left="1680" w:hanging="360"/>
      </w:pPr>
      <w:rPr>
        <w:rFonts w:hint="default"/>
        <w:lang w:val="en-GB" w:eastAsia="en-GB" w:bidi="en-GB"/>
      </w:rPr>
    </w:lvl>
    <w:lvl w:ilvl="3" w:tplc="AE9E5770">
      <w:numFmt w:val="bullet"/>
      <w:lvlText w:val="•"/>
      <w:lvlJc w:val="left"/>
      <w:pPr>
        <w:ind w:left="2637" w:hanging="360"/>
      </w:pPr>
      <w:rPr>
        <w:rFonts w:hint="default"/>
        <w:lang w:val="en-GB" w:eastAsia="en-GB" w:bidi="en-GB"/>
      </w:rPr>
    </w:lvl>
    <w:lvl w:ilvl="4" w:tplc="BADC2D92">
      <w:numFmt w:val="bullet"/>
      <w:lvlText w:val="•"/>
      <w:lvlJc w:val="left"/>
      <w:pPr>
        <w:ind w:left="3593" w:hanging="360"/>
      </w:pPr>
      <w:rPr>
        <w:rFonts w:hint="default"/>
        <w:lang w:val="en-GB" w:eastAsia="en-GB" w:bidi="en-GB"/>
      </w:rPr>
    </w:lvl>
    <w:lvl w:ilvl="5" w:tplc="B40E0D9E">
      <w:numFmt w:val="bullet"/>
      <w:lvlText w:val="•"/>
      <w:lvlJc w:val="left"/>
      <w:pPr>
        <w:ind w:left="4550" w:hanging="360"/>
      </w:pPr>
      <w:rPr>
        <w:rFonts w:hint="default"/>
        <w:lang w:val="en-GB" w:eastAsia="en-GB" w:bidi="en-GB"/>
      </w:rPr>
    </w:lvl>
    <w:lvl w:ilvl="6" w:tplc="A630EF00">
      <w:numFmt w:val="bullet"/>
      <w:lvlText w:val="•"/>
      <w:lvlJc w:val="left"/>
      <w:pPr>
        <w:ind w:left="5506" w:hanging="360"/>
      </w:pPr>
      <w:rPr>
        <w:rFonts w:hint="default"/>
        <w:lang w:val="en-GB" w:eastAsia="en-GB" w:bidi="en-GB"/>
      </w:rPr>
    </w:lvl>
    <w:lvl w:ilvl="7" w:tplc="792E548C">
      <w:numFmt w:val="bullet"/>
      <w:lvlText w:val="•"/>
      <w:lvlJc w:val="left"/>
      <w:pPr>
        <w:ind w:left="6463" w:hanging="360"/>
      </w:pPr>
      <w:rPr>
        <w:rFonts w:hint="default"/>
        <w:lang w:val="en-GB" w:eastAsia="en-GB" w:bidi="en-GB"/>
      </w:rPr>
    </w:lvl>
    <w:lvl w:ilvl="8" w:tplc="068A365C">
      <w:numFmt w:val="bullet"/>
      <w:lvlText w:val="•"/>
      <w:lvlJc w:val="left"/>
      <w:pPr>
        <w:ind w:left="7419" w:hanging="360"/>
      </w:pPr>
      <w:rPr>
        <w:rFonts w:hint="default"/>
        <w:lang w:val="en-GB" w:eastAsia="en-GB" w:bidi="en-GB"/>
      </w:rPr>
    </w:lvl>
  </w:abstractNum>
  <w:abstractNum w:abstractNumId="8" w15:restartNumberingAfterBreak="0">
    <w:nsid w:val="4DA442BD"/>
    <w:multiLevelType w:val="hybridMultilevel"/>
    <w:tmpl w:val="CA80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FA4797"/>
    <w:multiLevelType w:val="hybridMultilevel"/>
    <w:tmpl w:val="BBB8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5769B1"/>
    <w:multiLevelType w:val="hybridMultilevel"/>
    <w:tmpl w:val="ED184AEE"/>
    <w:lvl w:ilvl="0" w:tplc="002CFE0C">
      <w:numFmt w:val="bullet"/>
      <w:lvlText w:val=""/>
      <w:lvlJc w:val="left"/>
      <w:pPr>
        <w:ind w:left="358" w:hanging="358"/>
      </w:pPr>
      <w:rPr>
        <w:rFonts w:ascii="Symbol" w:eastAsia="Symbol" w:hAnsi="Symbol" w:cs="Symbol" w:hint="default"/>
        <w:w w:val="100"/>
        <w:sz w:val="22"/>
        <w:szCs w:val="22"/>
        <w:lang w:val="en-GB" w:eastAsia="en-GB" w:bidi="en-GB"/>
      </w:rPr>
    </w:lvl>
    <w:lvl w:ilvl="1" w:tplc="D5363016">
      <w:start w:val="1"/>
      <w:numFmt w:val="decimal"/>
      <w:lvlText w:val="%2."/>
      <w:lvlJc w:val="left"/>
      <w:pPr>
        <w:ind w:left="837" w:hanging="360"/>
      </w:pPr>
      <w:rPr>
        <w:rFonts w:ascii="Calibri" w:eastAsia="Calibri" w:hAnsi="Calibri" w:cs="Calibri" w:hint="default"/>
        <w:w w:val="100"/>
        <w:sz w:val="22"/>
        <w:szCs w:val="22"/>
        <w:lang w:val="en-GB" w:eastAsia="en-GB" w:bidi="en-GB"/>
      </w:rPr>
    </w:lvl>
    <w:lvl w:ilvl="2" w:tplc="1680B22E">
      <w:numFmt w:val="bullet"/>
      <w:lvlText w:val="•"/>
      <w:lvlJc w:val="left"/>
      <w:pPr>
        <w:ind w:left="1796" w:hanging="360"/>
      </w:pPr>
      <w:rPr>
        <w:rFonts w:hint="default"/>
        <w:lang w:val="en-GB" w:eastAsia="en-GB" w:bidi="en-GB"/>
      </w:rPr>
    </w:lvl>
    <w:lvl w:ilvl="3" w:tplc="2944A152">
      <w:numFmt w:val="bullet"/>
      <w:lvlText w:val="•"/>
      <w:lvlJc w:val="left"/>
      <w:pPr>
        <w:ind w:left="2753" w:hanging="360"/>
      </w:pPr>
      <w:rPr>
        <w:rFonts w:hint="default"/>
        <w:lang w:val="en-GB" w:eastAsia="en-GB" w:bidi="en-GB"/>
      </w:rPr>
    </w:lvl>
    <w:lvl w:ilvl="4" w:tplc="5A32C7A0">
      <w:numFmt w:val="bullet"/>
      <w:lvlText w:val="•"/>
      <w:lvlJc w:val="left"/>
      <w:pPr>
        <w:ind w:left="3709" w:hanging="360"/>
      </w:pPr>
      <w:rPr>
        <w:rFonts w:hint="default"/>
        <w:lang w:val="en-GB" w:eastAsia="en-GB" w:bidi="en-GB"/>
      </w:rPr>
    </w:lvl>
    <w:lvl w:ilvl="5" w:tplc="C6D673DA">
      <w:numFmt w:val="bullet"/>
      <w:lvlText w:val="•"/>
      <w:lvlJc w:val="left"/>
      <w:pPr>
        <w:ind w:left="4666" w:hanging="360"/>
      </w:pPr>
      <w:rPr>
        <w:rFonts w:hint="default"/>
        <w:lang w:val="en-GB" w:eastAsia="en-GB" w:bidi="en-GB"/>
      </w:rPr>
    </w:lvl>
    <w:lvl w:ilvl="6" w:tplc="EE1EB66A">
      <w:numFmt w:val="bullet"/>
      <w:lvlText w:val="•"/>
      <w:lvlJc w:val="left"/>
      <w:pPr>
        <w:ind w:left="5622" w:hanging="360"/>
      </w:pPr>
      <w:rPr>
        <w:rFonts w:hint="default"/>
        <w:lang w:val="en-GB" w:eastAsia="en-GB" w:bidi="en-GB"/>
      </w:rPr>
    </w:lvl>
    <w:lvl w:ilvl="7" w:tplc="7A3AA8D6">
      <w:numFmt w:val="bullet"/>
      <w:lvlText w:val="•"/>
      <w:lvlJc w:val="left"/>
      <w:pPr>
        <w:ind w:left="6579" w:hanging="360"/>
      </w:pPr>
      <w:rPr>
        <w:rFonts w:hint="default"/>
        <w:lang w:val="en-GB" w:eastAsia="en-GB" w:bidi="en-GB"/>
      </w:rPr>
    </w:lvl>
    <w:lvl w:ilvl="8" w:tplc="91ECA86C">
      <w:numFmt w:val="bullet"/>
      <w:lvlText w:val="•"/>
      <w:lvlJc w:val="left"/>
      <w:pPr>
        <w:ind w:left="7535" w:hanging="360"/>
      </w:pPr>
      <w:rPr>
        <w:rFonts w:hint="default"/>
        <w:lang w:val="en-GB" w:eastAsia="en-GB" w:bidi="en-GB"/>
      </w:rPr>
    </w:lvl>
  </w:abstractNum>
  <w:num w:numId="1">
    <w:abstractNumId w:val="1"/>
  </w:num>
  <w:num w:numId="2">
    <w:abstractNumId w:val="9"/>
  </w:num>
  <w:num w:numId="3">
    <w:abstractNumId w:val="6"/>
  </w:num>
  <w:num w:numId="4">
    <w:abstractNumId w:val="4"/>
  </w:num>
  <w:num w:numId="5">
    <w:abstractNumId w:val="5"/>
  </w:num>
  <w:num w:numId="6">
    <w:abstractNumId w:val="8"/>
  </w:num>
  <w:num w:numId="7">
    <w:abstractNumId w:val="2"/>
  </w:num>
  <w:num w:numId="8">
    <w:abstractNumId w:val="3"/>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70"/>
    <w:rsid w:val="000066AD"/>
    <w:rsid w:val="000211DE"/>
    <w:rsid w:val="000766DD"/>
    <w:rsid w:val="00090B8F"/>
    <w:rsid w:val="000933EF"/>
    <w:rsid w:val="000C7528"/>
    <w:rsid w:val="000E7036"/>
    <w:rsid w:val="000F6F74"/>
    <w:rsid w:val="00124CDB"/>
    <w:rsid w:val="00177CFF"/>
    <w:rsid w:val="00185B8F"/>
    <w:rsid w:val="001F0549"/>
    <w:rsid w:val="00227698"/>
    <w:rsid w:val="00234DA2"/>
    <w:rsid w:val="00241276"/>
    <w:rsid w:val="0029710A"/>
    <w:rsid w:val="002D40AE"/>
    <w:rsid w:val="003110B2"/>
    <w:rsid w:val="003134D9"/>
    <w:rsid w:val="00313E70"/>
    <w:rsid w:val="00347084"/>
    <w:rsid w:val="00496233"/>
    <w:rsid w:val="004A5538"/>
    <w:rsid w:val="004B7F0A"/>
    <w:rsid w:val="00517835"/>
    <w:rsid w:val="00527147"/>
    <w:rsid w:val="00543181"/>
    <w:rsid w:val="00543C94"/>
    <w:rsid w:val="00555F5D"/>
    <w:rsid w:val="00565CAA"/>
    <w:rsid w:val="00567836"/>
    <w:rsid w:val="005A7830"/>
    <w:rsid w:val="005B1FFF"/>
    <w:rsid w:val="005C4F2E"/>
    <w:rsid w:val="006852D1"/>
    <w:rsid w:val="006F6544"/>
    <w:rsid w:val="007055D7"/>
    <w:rsid w:val="00715B7A"/>
    <w:rsid w:val="00735802"/>
    <w:rsid w:val="00737104"/>
    <w:rsid w:val="00742A4F"/>
    <w:rsid w:val="007551EF"/>
    <w:rsid w:val="00761EFC"/>
    <w:rsid w:val="00776E32"/>
    <w:rsid w:val="007B5950"/>
    <w:rsid w:val="007C5FBD"/>
    <w:rsid w:val="007E12CF"/>
    <w:rsid w:val="008212EB"/>
    <w:rsid w:val="00896714"/>
    <w:rsid w:val="008B13EA"/>
    <w:rsid w:val="008D2563"/>
    <w:rsid w:val="008F7440"/>
    <w:rsid w:val="00901A66"/>
    <w:rsid w:val="00907B99"/>
    <w:rsid w:val="00907F14"/>
    <w:rsid w:val="009365EA"/>
    <w:rsid w:val="00952770"/>
    <w:rsid w:val="0096537C"/>
    <w:rsid w:val="0096593C"/>
    <w:rsid w:val="00982497"/>
    <w:rsid w:val="0098367A"/>
    <w:rsid w:val="00996726"/>
    <w:rsid w:val="00A206F8"/>
    <w:rsid w:val="00A45928"/>
    <w:rsid w:val="00A70151"/>
    <w:rsid w:val="00AB721E"/>
    <w:rsid w:val="00AC7043"/>
    <w:rsid w:val="00AD511A"/>
    <w:rsid w:val="00AD5593"/>
    <w:rsid w:val="00B27805"/>
    <w:rsid w:val="00B33567"/>
    <w:rsid w:val="00B34ED4"/>
    <w:rsid w:val="00B53623"/>
    <w:rsid w:val="00B73770"/>
    <w:rsid w:val="00B82690"/>
    <w:rsid w:val="00BA6AF6"/>
    <w:rsid w:val="00BC7F63"/>
    <w:rsid w:val="00BD31A8"/>
    <w:rsid w:val="00BD4DA9"/>
    <w:rsid w:val="00C02BCC"/>
    <w:rsid w:val="00C52ADE"/>
    <w:rsid w:val="00CA520F"/>
    <w:rsid w:val="00CC7EA7"/>
    <w:rsid w:val="00CD679F"/>
    <w:rsid w:val="00CF57AF"/>
    <w:rsid w:val="00D06675"/>
    <w:rsid w:val="00D16B2D"/>
    <w:rsid w:val="00D30C66"/>
    <w:rsid w:val="00D77787"/>
    <w:rsid w:val="00D879ED"/>
    <w:rsid w:val="00DB521E"/>
    <w:rsid w:val="00DC2534"/>
    <w:rsid w:val="00DC3761"/>
    <w:rsid w:val="00E02E72"/>
    <w:rsid w:val="00E45D6F"/>
    <w:rsid w:val="00E626B8"/>
    <w:rsid w:val="00E84354"/>
    <w:rsid w:val="00E92B9F"/>
    <w:rsid w:val="00EA228C"/>
    <w:rsid w:val="00EC25D1"/>
    <w:rsid w:val="00EE3F7C"/>
    <w:rsid w:val="00EF4417"/>
    <w:rsid w:val="00F02257"/>
    <w:rsid w:val="00F10CF7"/>
    <w:rsid w:val="00F23FC0"/>
    <w:rsid w:val="00F47278"/>
    <w:rsid w:val="00F47F33"/>
    <w:rsid w:val="00F522BB"/>
    <w:rsid w:val="00F573CC"/>
    <w:rsid w:val="00F63179"/>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8F5572"/>
  <w15:chartTrackingRefBased/>
  <w15:docId w15:val="{02070ACC-DC7F-4243-A89E-2C9C4647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0E7036"/>
    <w:pPr>
      <w:widowControl w:val="0"/>
      <w:autoSpaceDE w:val="0"/>
      <w:autoSpaceDN w:val="0"/>
      <w:spacing w:after="0" w:line="240" w:lineRule="auto"/>
      <w:ind w:left="117"/>
      <w:outlineLvl w:val="1"/>
    </w:pPr>
    <w:rPr>
      <w:rFonts w:ascii="Calibri" w:eastAsia="Calibri" w:hAnsi="Calibri" w:cs="Calibri"/>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1EF"/>
    <w:pPr>
      <w:ind w:left="720"/>
      <w:contextualSpacing/>
    </w:pPr>
  </w:style>
  <w:style w:type="paragraph" w:styleId="Header">
    <w:name w:val="header"/>
    <w:basedOn w:val="Normal"/>
    <w:link w:val="HeaderChar"/>
    <w:uiPriority w:val="99"/>
    <w:unhideWhenUsed/>
    <w:rsid w:val="00A20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6F8"/>
  </w:style>
  <w:style w:type="paragraph" w:styleId="Footer">
    <w:name w:val="footer"/>
    <w:basedOn w:val="Normal"/>
    <w:link w:val="FooterChar"/>
    <w:uiPriority w:val="99"/>
    <w:unhideWhenUsed/>
    <w:rsid w:val="00A20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6F8"/>
  </w:style>
  <w:style w:type="character" w:styleId="CommentReference">
    <w:name w:val="annotation reference"/>
    <w:basedOn w:val="DefaultParagraphFont"/>
    <w:uiPriority w:val="99"/>
    <w:semiHidden/>
    <w:unhideWhenUsed/>
    <w:rsid w:val="00D06675"/>
    <w:rPr>
      <w:sz w:val="16"/>
      <w:szCs w:val="16"/>
    </w:rPr>
  </w:style>
  <w:style w:type="paragraph" w:styleId="CommentText">
    <w:name w:val="annotation text"/>
    <w:basedOn w:val="Normal"/>
    <w:link w:val="CommentTextChar"/>
    <w:uiPriority w:val="99"/>
    <w:unhideWhenUsed/>
    <w:rsid w:val="00D06675"/>
    <w:pPr>
      <w:spacing w:line="240" w:lineRule="auto"/>
    </w:pPr>
    <w:rPr>
      <w:sz w:val="20"/>
      <w:szCs w:val="20"/>
    </w:rPr>
  </w:style>
  <w:style w:type="character" w:customStyle="1" w:styleId="CommentTextChar">
    <w:name w:val="Comment Text Char"/>
    <w:basedOn w:val="DefaultParagraphFont"/>
    <w:link w:val="CommentText"/>
    <w:uiPriority w:val="99"/>
    <w:rsid w:val="00D06675"/>
    <w:rPr>
      <w:sz w:val="20"/>
      <w:szCs w:val="20"/>
    </w:rPr>
  </w:style>
  <w:style w:type="paragraph" w:styleId="CommentSubject">
    <w:name w:val="annotation subject"/>
    <w:basedOn w:val="CommentText"/>
    <w:next w:val="CommentText"/>
    <w:link w:val="CommentSubjectChar"/>
    <w:uiPriority w:val="99"/>
    <w:semiHidden/>
    <w:unhideWhenUsed/>
    <w:rsid w:val="00D06675"/>
    <w:rPr>
      <w:b/>
      <w:bCs/>
    </w:rPr>
  </w:style>
  <w:style w:type="character" w:customStyle="1" w:styleId="CommentSubjectChar">
    <w:name w:val="Comment Subject Char"/>
    <w:basedOn w:val="CommentTextChar"/>
    <w:link w:val="CommentSubject"/>
    <w:uiPriority w:val="99"/>
    <w:semiHidden/>
    <w:rsid w:val="00D06675"/>
    <w:rPr>
      <w:b/>
      <w:bCs/>
      <w:sz w:val="20"/>
      <w:szCs w:val="20"/>
    </w:rPr>
  </w:style>
  <w:style w:type="paragraph" w:styleId="BalloonText">
    <w:name w:val="Balloon Text"/>
    <w:basedOn w:val="Normal"/>
    <w:link w:val="BalloonTextChar"/>
    <w:uiPriority w:val="99"/>
    <w:semiHidden/>
    <w:unhideWhenUsed/>
    <w:rsid w:val="00D06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675"/>
    <w:rPr>
      <w:rFonts w:ascii="Segoe UI" w:hAnsi="Segoe UI" w:cs="Segoe UI"/>
      <w:sz w:val="18"/>
      <w:szCs w:val="18"/>
    </w:rPr>
  </w:style>
  <w:style w:type="character" w:customStyle="1" w:styleId="Heading2Char">
    <w:name w:val="Heading 2 Char"/>
    <w:basedOn w:val="DefaultParagraphFont"/>
    <w:link w:val="Heading2"/>
    <w:uiPriority w:val="1"/>
    <w:rsid w:val="000E7036"/>
    <w:rPr>
      <w:rFonts w:ascii="Calibri" w:eastAsia="Calibri" w:hAnsi="Calibri" w:cs="Calibri"/>
      <w:b/>
      <w:bCs/>
      <w:lang w:eastAsia="en-GB" w:bidi="en-GB"/>
    </w:rPr>
  </w:style>
  <w:style w:type="paragraph" w:styleId="BodyText">
    <w:name w:val="Body Text"/>
    <w:basedOn w:val="Normal"/>
    <w:link w:val="BodyTextChar"/>
    <w:uiPriority w:val="1"/>
    <w:qFormat/>
    <w:rsid w:val="000E7036"/>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0E7036"/>
    <w:rPr>
      <w:rFonts w:ascii="Calibri" w:eastAsia="Calibri" w:hAnsi="Calibri" w:cs="Calibri"/>
      <w:lang w:eastAsia="en-GB" w:bidi="en-GB"/>
    </w:rPr>
  </w:style>
  <w:style w:type="paragraph" w:styleId="NormalWeb">
    <w:name w:val="Normal (Web)"/>
    <w:basedOn w:val="Normal"/>
    <w:uiPriority w:val="99"/>
    <w:semiHidden/>
    <w:unhideWhenUsed/>
    <w:rsid w:val="008D25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E3F7C"/>
    <w:rPr>
      <w:color w:val="0563C1"/>
      <w:u w:val="single"/>
    </w:rPr>
  </w:style>
  <w:style w:type="character" w:styleId="FollowedHyperlink">
    <w:name w:val="FollowedHyperlink"/>
    <w:basedOn w:val="DefaultParagraphFont"/>
    <w:uiPriority w:val="99"/>
    <w:semiHidden/>
    <w:unhideWhenUsed/>
    <w:rsid w:val="00EE3F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8497">
      <w:bodyDiv w:val="1"/>
      <w:marLeft w:val="0"/>
      <w:marRight w:val="0"/>
      <w:marTop w:val="0"/>
      <w:marBottom w:val="0"/>
      <w:divBdr>
        <w:top w:val="none" w:sz="0" w:space="0" w:color="auto"/>
        <w:left w:val="none" w:sz="0" w:space="0" w:color="auto"/>
        <w:bottom w:val="none" w:sz="0" w:space="0" w:color="auto"/>
        <w:right w:val="none" w:sz="0" w:space="0" w:color="auto"/>
      </w:divBdr>
      <w:divsChild>
        <w:div w:id="1766806734">
          <w:marLeft w:val="0"/>
          <w:marRight w:val="0"/>
          <w:marTop w:val="0"/>
          <w:marBottom w:val="0"/>
          <w:divBdr>
            <w:top w:val="none" w:sz="0" w:space="0" w:color="auto"/>
            <w:left w:val="none" w:sz="0" w:space="0" w:color="auto"/>
            <w:bottom w:val="none" w:sz="0" w:space="0" w:color="auto"/>
            <w:right w:val="none" w:sz="0" w:space="0" w:color="auto"/>
          </w:divBdr>
          <w:divsChild>
            <w:div w:id="624775186">
              <w:marLeft w:val="0"/>
              <w:marRight w:val="0"/>
              <w:marTop w:val="0"/>
              <w:marBottom w:val="0"/>
              <w:divBdr>
                <w:top w:val="none" w:sz="0" w:space="0" w:color="auto"/>
                <w:left w:val="none" w:sz="0" w:space="0" w:color="auto"/>
                <w:bottom w:val="none" w:sz="0" w:space="0" w:color="auto"/>
                <w:right w:val="none" w:sz="0" w:space="0" w:color="auto"/>
              </w:divBdr>
              <w:divsChild>
                <w:div w:id="831028634">
                  <w:marLeft w:val="0"/>
                  <w:marRight w:val="0"/>
                  <w:marTop w:val="0"/>
                  <w:marBottom w:val="0"/>
                  <w:divBdr>
                    <w:top w:val="none" w:sz="0" w:space="0" w:color="auto"/>
                    <w:left w:val="none" w:sz="0" w:space="0" w:color="auto"/>
                    <w:bottom w:val="none" w:sz="0" w:space="0" w:color="auto"/>
                    <w:right w:val="none" w:sz="0" w:space="0" w:color="auto"/>
                  </w:divBdr>
                  <w:divsChild>
                    <w:div w:id="1284727099">
                      <w:marLeft w:val="0"/>
                      <w:marRight w:val="0"/>
                      <w:marTop w:val="0"/>
                      <w:marBottom w:val="0"/>
                      <w:divBdr>
                        <w:top w:val="none" w:sz="0" w:space="0" w:color="auto"/>
                        <w:left w:val="none" w:sz="0" w:space="0" w:color="auto"/>
                        <w:bottom w:val="none" w:sz="0" w:space="0" w:color="auto"/>
                        <w:right w:val="none" w:sz="0" w:space="0" w:color="auto"/>
                      </w:divBdr>
                      <w:divsChild>
                        <w:div w:id="1331375509">
                          <w:marLeft w:val="0"/>
                          <w:marRight w:val="0"/>
                          <w:marTop w:val="0"/>
                          <w:marBottom w:val="0"/>
                          <w:divBdr>
                            <w:top w:val="none" w:sz="0" w:space="0" w:color="auto"/>
                            <w:left w:val="none" w:sz="0" w:space="0" w:color="auto"/>
                            <w:bottom w:val="none" w:sz="0" w:space="0" w:color="auto"/>
                            <w:right w:val="none" w:sz="0" w:space="0" w:color="auto"/>
                          </w:divBdr>
                          <w:divsChild>
                            <w:div w:id="17395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orchid-reg@phc.ox.ac.uk"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2" ma:contentTypeDescription="Create a new document." ma:contentTypeScope="" ma:versionID="ccdf4c783776cb68137ebe7c222c7ec3">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beef892eb146161fee867a50b81d0ecd"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94BA2-2E05-48EA-A561-05D5C76E8E9A}">
  <ds:schemaRefs>
    <ds:schemaRef ds:uri="http://schemas.microsoft.com/sharepoint/v3/contenttype/forms"/>
  </ds:schemaRefs>
</ds:datastoreItem>
</file>

<file path=customXml/itemProps2.xml><?xml version="1.0" encoding="utf-8"?>
<ds:datastoreItem xmlns:ds="http://schemas.openxmlformats.org/officeDocument/2006/customXml" ds:itemID="{05CABB41-4921-48AE-95B3-812F8427B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A2526-C178-4755-9ED2-8B66CAB7BE8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bb55023-286f-46d7-8b8e-5a79189d33e9"/>
    <ds:schemaRef ds:uri="adcfa805-e237-4af0-86e0-efffb5656f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Bankhead</dc:creator>
  <cp:keywords/>
  <dc:description/>
  <cp:lastModifiedBy>Lucy Curtin</cp:lastModifiedBy>
  <cp:revision>4</cp:revision>
  <dcterms:created xsi:type="dcterms:W3CDTF">2021-06-25T12:09:00Z</dcterms:created>
  <dcterms:modified xsi:type="dcterms:W3CDTF">2021-06-29T09:21:00Z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